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Assessment week covering Unit 1. Use school-approved assessment materials.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the school-approved assessment tasks, agreed access arrangements and teacher records. Mark and give feedback after the assessment window closes.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12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learning under the school’s assessment arrangements.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Settle pupils, check seating and explain the classroom routine calmly.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Read the approved internal assessment instructions and check understanding of the response method. Do not teach new content or disclose answers.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Demonstrate where or how to give a response using an unrelated example if the approved instructions permit it.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the school-approved oral, picture, written or practical assessment. Record observations and provide only agreed access support.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and check that work is identified appropriately. Store responses and notes for marking.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Provide only school-agreed access arrangements, such as reading instructions or an alternative response mode, without changing the assessed demand.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Pupils who finish check their work quietly and follow the teacher’s approved completion routine.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15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complete any scheduled assessment activity and follow the school’s completion routine.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Remind pupils of the assessment-week routine and check any remaining scheduled tasks.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the school-approved arrangements for completion or an additional practical assessment. Give feedback only after the assessment window has closed.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the response procedure without showing answers to live assessment items.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complete the assigned tasks independently with agreed access support. After closure, the teacher may use a familiar non-assessed consolidation activity.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Collect remaining work, record completion and note next steps for feedback and support.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Apply the same agreed access arrangements as the first assessment lesson.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Use the approved quiet completion routine; do not set new examinable content.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School-approved internal assessment materials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assessment and completion records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Agreed access-arrangement resources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for approved instructions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Computer equipment only if required by the assessment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Approved paper or response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classroom materials; Quiet completion activity if authorised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