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Assessment week covering Unit 3 and topic 4.1. Use school-approved assessment materials.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the school-approved assessment tasks, agreed access arrangements and teacher records. Mark and give feedback after the assessment window closes.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15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learning under the school’s assessment arrangements.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Settle pupils, check seating and explain the classroom routine calmly.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Read the approved internal assessment instructions and check understanding of the response method. Do not teach new content or disclose answers.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Demonstrate where or how to give a response using an unrelated example if the approved instructions permit it.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the school-approved oral, picture, written or practical assessment. Record observations and provide only agreed access support.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and check that work is identified appropriately. Store responses and notes for marking.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Provide only school-agreed access arrangements, such as reading instructions or an alternative response mode, without changing the assessed demand.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Pupils who finish check their work quietly and follow the teacher’s approved completion routine.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18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complete any scheduled assessment activity and follow the school’s completion routine.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Remind pupils of the assessment-week routine and check any remaining scheduled tasks.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Explain the school-approved arrangements for completion or an additional practical assessment. Give feedback only after the assessment window has closed.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the response procedure without showing answers to live assessment items.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complete the assigned tasks independently with agreed access support. After closure, the teacher may use a familiar non-assessed consolidation activity.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Collect remaining work, record completion and note next steps for feedback and support.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Apply the same agreed access arrangements as the first assessment lesson.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Use the approved quiet completion routine; do not set new examinable content.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School-approved internal assessment materials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assessment and completion records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Agreed access-arrangement resources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for approved instructions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Computer equipment only if required by the assessment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Approved paper or response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classroom materials; Quiet completion activity if authorised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