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(Term 3)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Students will learn to build the core of a small Scratch game with teacher support. They will also learn to test the game, correct a simple problem and explain how it works. Through class discussion, teacher demonstrations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Use teacher observation, pupil explanations and the completed practical or paper activity. Check the specific outcomes in each lesson row and note pupils who need further practice.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19 April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build the core of a small Scratch game with teacher support.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Play the prepared Catch the Character example and ask pupils to describe its goal.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Identify the sprite, backdrop and event needed. Explain that this is a small weekly project using familiar blocks; the teacher supplies additional scaffolding.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Select Catcher, add a green-flag reset and model a separate sprite-click stack that displays a message and moves to a random position.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follow Game 1 in the step-by-step guide, build the core interaction and save a named project without personal details.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Check that clicking Catcher produces a message and moves it to a new position.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Provide a project with prepared sprites and the first event already placed. Model one stack at a time and let partners alternate roles.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Invite pupils to change a message or appearance while keeping the main interaction working.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22 April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test the game, correct a simple problem and explain how it works.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Reopen the saved project and recall what already works.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Explain the guide’s test checklist and the difference between a problem to fix and an optional extra feature.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Demonstrate starting, catching three times and restarting. Fix an event attached to the wrong stack.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Partners take turns playing and observing, record or explain one issue, make one improvement and save the finished project.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Each pupil points to a start event, describes the response and demonstrates the completed goal.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Use a teacher checklist, adult reading and a prepared working comparison. Accept an oral explanation.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Add one suitable optional feature only after the core game passes its checks; scores and timers are not required.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Y1 Computing T3 W01 Game 1 Step by Step.pdf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Scratch 3 and saved or prepared starting projects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Game test checklist and teacher demonstration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Classroom computers or laptops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Drawing paper or activity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colouring materials; Student notebooks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