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build the core of a small Scratch game with teacher support. They will also learn to test the game, correct a simple problem and explain how it works.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26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build the core of a small Scratch game with teacher support.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Play the prepared Find the Hidden Animal example and ask pupils to describe its goal.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Identify the sprite, backdrop and event needed. Explain that this is a small weekly project using familiar blocks; the teacher supplies additional scaffolding.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Select a detailed backdrop and a visible animal. Model the clue and a click stack that hides briefly, changes position and shows again.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follow Game 2 in the step-by-step guide, build the core interaction and save a named project without personal details.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that the animal can be found, clicked and seen again after a short delay.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a project with prepared sprites and the first event already placed. Model one stack at a time and let partners alternate roles.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Invite pupils to change a message or appearance while keeping the main interaction working.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29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test the game, correct a simple problem and explain how it works.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Reopen the saved project and recall what already works.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guide’s test checklist and the difference between a problem to fix and an optional extra feature.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Test visibility after a catch and after restarting. Model adding show to the reset stack if the sprite stays hidden.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take turns playing and observing, record or explain one issue, make one improvement and save the finished project.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Each pupil points to a start event, describes the response and demonstrates the completed goal.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a teacher checklist, adult reading and a prepared working comparison. Accept an oral explanation.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Add one suitable optional feature only after the core game passes its checks; scores and timers are not required.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T3 W02 Game 2 Step by Step.pdf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saved or prepared starting projects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Game test checklist and teacher demonstration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