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Assessment week covering the taught Scratch games and introductory AI topics. Use school-approved assessment materials.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the school-approved assessment tasks, agreed access arrangements and teacher records. Mark and give feedback after the assessment window closes.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21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learning under the school’s assessment arrangements.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Settle pupils, check seating and explain the classroom routine calmly.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Read the approved internal assessment instructions and check understanding of the response method. Do not teach new content or disclose answers.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where or how to give a response using an unrelated example if the approved instructions permit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school-approved oral, picture, written or practical assessment. Record observations and provide only agreed access support.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and check that work is identified appropriately. Store responses and notes for marking.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only school-agreed access arrangements, such as reading instructions or an alternative response mode, without changing the assessed demand.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Pupils who finish check their work quietly and follow the teacher’s approved completion routine.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24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complete any scheduled assessment activity and follow the school’s completion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Remind pupils of the assessment-week routine and check any remaining scheduled tasks.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school-approved arrangements for completion or an additional practical assessment. Give feedback only after the assessment window has closed.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the response procedure without showing answers to live assessment items.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complete the assigned tasks independently with agreed access support. After closure, the teacher may use a familiar non-assessed consolidation activity.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Collect remaining work, record completion and note next steps for feedback and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Apply the same agreed access arrangements as the first assessment lesson.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Use the approved quiet completion routine; do not set new examinable content.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School-approved internal assessment materials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assessment and completion records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Agreed access-arrangement resources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for approved instructions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Computer equipment only if required by the assessment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Approved paper or response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classroom materials; Quiet completion activity if authorised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