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1907" w:type="dxa"/>
        <w:tblInd w:w="-1417" w:type="dxa"/>
      </w:tblPr>
      <w:tblGrid>
        <w:gridCol w:w="9072"/>
      </w:tblGrid>
      <w:tr>
        <w:tc>
          <w:tcPr>
            <w:tcW w:type="dxa" w:w="9072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60" w:type="dxa"/>
              <w:bottom w:w="60" w:type="dxa"/>
              <w:left w:w="1497" w:type="dxa"/>
              <w:right w:w="1497" w:type="dxa"/>
            </w:tcMar>
          </w:tcPr>
          <w:p>
            <w:pPr>
              <w:spacing w:before="0" w:after="40"/>
            </w:pPr>
            <w:r>
              <w:rPr>
                <w:b/>
                <w:i w:val="0"/>
                <w:color w:val="93C5FD"/>
                <w:sz w:val="16"/>
              </w:rPr>
              <w:t>RELATÓRIO TÉCNICO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FFFFFF"/>
                <w:sz w:val="32"/>
              </w:rPr>
              <w:t>Uso de Chave API para Conversão Automatizada</w:t>
              <w:br/>
            </w:r>
            <w:r>
              <w:rPr>
                <w:b/>
                <w:i w:val="0"/>
                <w:color w:val="FFFFFF"/>
                <w:sz w:val="32"/>
              </w:rPr>
              <w:t>de Fórmulas LaTeX no Canvas LMS para UDAS</w:t>
            </w:r>
          </w:p>
        </w:tc>
      </w:tr>
    </w:tbl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1907" w:type="dxa"/>
        <w:tblInd w:w="-1417" w:type="dxa"/>
      </w:tblPr>
      <w:tblGrid>
        <w:gridCol w:w="2268"/>
        <w:gridCol w:w="2268"/>
        <w:gridCol w:w="2268"/>
        <w:gridCol w:w="2268"/>
      </w:tblGrid>
      <w:tr>
        <w:tc>
          <w:tcPr>
            <w:tcW w:type="dxa" w:w="4535"/>
            <w:shd w:val="clear" w:color="auto" w:fill="162D4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200" w:type="dxa"/>
              <w:left w:w="1497" w:type="dxa"/>
              <w:right w:w="14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93C5FD"/>
                <w:sz w:val="16"/>
              </w:rPr>
              <w:t>Equipe</w:t>
              <w:br/>
            </w:r>
            <w:r>
              <w:rPr>
                <w:b/>
                <w:i w:val="0"/>
                <w:color w:val="FFFFFF"/>
                <w:sz w:val="20"/>
              </w:rPr>
              <w:t>Gestão do Ambiente Virtual</w:t>
            </w:r>
          </w:p>
        </w:tc>
        <w:tc>
          <w:tcPr>
            <w:tcW w:type="dxa" w:w="2835"/>
            <w:shd w:val="clear" w:color="auto" w:fill="162D4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2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93C5FD"/>
                <w:sz w:val="16"/>
              </w:rPr>
              <w:t>Data</w:t>
              <w:br/>
            </w:r>
            <w:r>
              <w:rPr>
                <w:b/>
                <w:i w:val="0"/>
                <w:color w:val="FFFFFF"/>
                <w:sz w:val="20"/>
              </w:rPr>
              <w:t>Maio de 2026</w:t>
            </w:r>
          </w:p>
        </w:tc>
        <w:tc>
          <w:tcPr>
            <w:tcW w:type="dxa" w:w="2268"/>
            <w:shd w:val="clear" w:color="auto" w:fill="162D4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2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93C5FD"/>
                <w:sz w:val="16"/>
              </w:rPr>
              <w:t>Versão</w:t>
              <w:br/>
            </w:r>
            <w:r>
              <w:rPr>
                <w:b/>
                <w:i w:val="0"/>
                <w:color w:val="FFFFFF"/>
                <w:sz w:val="20"/>
              </w:rPr>
              <w:t>1.0</w:t>
            </w:r>
          </w:p>
        </w:tc>
        <w:tc>
          <w:tcPr>
            <w:tcW w:type="dxa" w:w="2268"/>
            <w:shd w:val="clear" w:color="auto" w:fill="162D4A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200" w:type="dxa"/>
              <w:left w:w="140" w:type="dxa"/>
              <w:right w:w="1497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93C5FD"/>
                <w:sz w:val="16"/>
              </w:rPr>
              <w:t>Classif.</w:t>
              <w:br/>
            </w:r>
            <w:r>
              <w:rPr>
                <w:b/>
                <w:i w:val="0"/>
                <w:color w:val="FFFFFF"/>
                <w:sz w:val="20"/>
              </w:rPr>
              <w:t>Interno</w:t>
            </w:r>
          </w:p>
        </w:tc>
      </w:tr>
    </w:tbl>
    <w:p>
      <w:pPr>
        <w:spacing w:before="0" w:after="320"/>
      </w:pPr>
    </w:p>
    <w:p>
      <w:pPr>
        <w:shd w:val="clear" w:color="auto" w:fill="EFF6FF"/>
        <w:spacing w:before="200" w:after="60"/>
        <w:ind w:left="0" w:right="0"/>
      </w:pPr>
      <w:r>
        <w:rPr>
          <w:b/>
          <w:i w:val="0"/>
          <w:color w:val="FFFFFF"/>
          <w:sz w:val="26"/>
          <w:shd w:val="clear" w:color="auto" w:fill="1E3A5F"/>
        </w:rPr>
        <w:t xml:space="preserve">  1  </w:t>
      </w:r>
      <w:r>
        <w:rPr>
          <w:b/>
          <w:i w:val="0"/>
          <w:color w:val="1E3A5F"/>
          <w:sz w:val="28"/>
        </w:rPr>
        <w:t xml:space="preserve">   Introdução</w:t>
      </w:r>
    </w:p>
    <w:p>
      <w:pPr>
        <w:spacing w:before="0" w:after="140" w:line="320" w:lineRule="exact"/>
      </w:pPr>
      <w:r>
        <w:rPr>
          <w:b w:val="0"/>
          <w:i w:val="0"/>
          <w:color w:val="374151"/>
          <w:sz w:val="22"/>
        </w:rPr>
        <w:t>O Canvas LMS (Instructure) é a plataforma de ensino adotada pela instituição para disponibilização de conteúdos educacionais. Utilizamos os materiais disponibilizados nas FICs para incluir o conteúdo das UDAs no Canvas. Nesse processo, é frequente a presença de fórmulas matemáticas, equações e expressões científicas nas FICs referentes às UDAs, que precisam ser inseridas digitalmente de forma correta e acessível.</w:t>
      </w:r>
    </w:p>
    <w:p>
      <w:pPr>
        <w:spacing w:before="0" w:after="140" w:line="320" w:lineRule="exact"/>
      </w:pPr>
      <w:r>
        <w:rPr>
          <w:b w:val="0"/>
          <w:i w:val="0"/>
          <w:color w:val="374151"/>
          <w:sz w:val="22"/>
        </w:rPr>
        <w:t xml:space="preserve">A plataforma Canvas oferece suporte nativo ao formato </w:t>
      </w:r>
      <w:r>
        <w:rPr>
          <w:b/>
          <w:i w:val="0"/>
          <w:color w:val="1E3A5F"/>
          <w:sz w:val="22"/>
        </w:rPr>
        <w:t>LaTeX</w:t>
      </w:r>
      <w:r>
        <w:rPr>
          <w:b w:val="0"/>
          <w:i w:val="0"/>
          <w:color w:val="374151"/>
          <w:sz w:val="22"/>
        </w:rPr>
        <w:t xml:space="preserve">, padrão amplamente utilizado para representação de fórmulas matemáticas em ambientes digitais. Quando uma fórmula é inserida via LaTeX, ela é renderizada visualmente e fica legível por tecnologias assistivas, como leitores de tela — essencial para garantir a </w:t>
      </w:r>
      <w:r>
        <w:rPr>
          <w:b/>
          <w:i w:val="0"/>
          <w:color w:val="1E3A5F"/>
          <w:sz w:val="22"/>
        </w:rPr>
        <w:t>acessibilidade do conteúdo</w:t>
      </w:r>
      <w:r>
        <w:rPr>
          <w:b w:val="0"/>
          <w:i w:val="0"/>
          <w:color w:val="374151"/>
          <w:sz w:val="22"/>
        </w:rPr>
        <w:t xml:space="preserve"> a estudantes com deficiência visual.</w:t>
      </w:r>
    </w:p>
    <w:p>
      <w:pPr>
        <w:spacing w:before="0" w:after="140" w:line="320" w:lineRule="exact"/>
      </w:pPr>
      <w:r>
        <w:rPr>
          <w:b w:val="0"/>
          <w:i w:val="0"/>
          <w:color w:val="374151"/>
          <w:sz w:val="22"/>
        </w:rPr>
        <w:t>Este relatório justifica a adoção de uma chave de API de inteligência artificial (OpenAI ou OpenRouter) para viabilizar o uso de uma extensão do Chrome com o objetivo de automatizar a conversão de imagens de fórmulas para código LaTeX.</w:t>
      </w:r>
    </w:p>
    <w:p>
      <w:pPr>
        <w:pBdr>
          <w:bottom w:val="single" w:sz="6" w:space="1" w:color="CBD5E1"/>
        </w:pBdr>
        <w:spacing w:before="180" w:after="180"/>
      </w:pPr>
    </w:p>
    <w:p>
      <w:pPr>
        <w:shd w:val="clear" w:color="auto" w:fill="EFF6FF"/>
        <w:spacing w:before="200" w:after="60"/>
        <w:ind w:left="0" w:right="0"/>
      </w:pPr>
      <w:r>
        <w:rPr>
          <w:b/>
          <w:i w:val="0"/>
          <w:color w:val="FFFFFF"/>
          <w:sz w:val="26"/>
          <w:shd w:val="clear" w:color="auto" w:fill="1E3A5F"/>
        </w:rPr>
        <w:t xml:space="preserve">  2  </w:t>
      </w:r>
      <w:r>
        <w:rPr>
          <w:b/>
          <w:i w:val="0"/>
          <w:color w:val="1E3A5F"/>
          <w:sz w:val="28"/>
        </w:rPr>
        <w:t xml:space="preserve">   O Problema Atual</w:t>
      </w:r>
    </w:p>
    <w:p>
      <w:pPr>
        <w:spacing w:before="200" w:after="60"/>
      </w:pPr>
      <w:r>
        <w:rPr>
          <w:b/>
          <w:i w:val="0"/>
          <w:color w:val="334155"/>
          <w:sz w:val="18"/>
        </w:rPr>
        <w:t>ORIGEM DAS FÓRMULAS NOS MATERIAIS FIC</w:t>
      </w:r>
    </w:p>
    <w:p>
      <w:pPr>
        <w:spacing w:before="0" w:after="140" w:line="320" w:lineRule="exact"/>
      </w:pPr>
      <w:r>
        <w:rPr>
          <w:b w:val="0"/>
          <w:i w:val="0"/>
          <w:color w:val="374151"/>
          <w:sz w:val="22"/>
        </w:rPr>
        <w:t>Os materiais recebidos em formato FIC frequentemente contêm fórmulas matemáticas apresentadas como imagens — arquivos digitalizados ou elementos visuais incorporados em documentos. Essas imagens não possuem nenhuma informação textual subjacente.</w:t>
      </w:r>
    </w:p>
    <w:p>
      <w:pPr>
        <w:spacing w:before="200" w:after="60"/>
      </w:pPr>
      <w:r>
        <w:rPr>
          <w:b/>
          <w:i w:val="0"/>
          <w:color w:val="334155"/>
          <w:sz w:val="18"/>
        </w:rPr>
        <w:t>POR QUE IMAGENS NÃO SÃO SUFICIENTES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536"/>
        <w:gridCol w:w="4536"/>
      </w:tblGrid>
      <w:tr>
        <w:tc>
          <w:tcPr>
            <w:tcW w:type="dxa" w:w="680"/>
            <w:shd w:val="clear" w:color="auto" w:fill="EFF6FF"/>
            <w:tcBorders>
              <w:top w:val="none"/>
              <w:right w:val="none"/>
              <w:bottom w:val="none"/>
              <w:insideH w:val="none"/>
              <w:insideV w:val="none"/>
              <w:left w:val="single" w:sz="20" w:space="0" w:color="2563EB"/>
            </w:tcBorders>
            <w:tcMar>
              <w:top w:w="140" w:type="dxa"/>
              <w:bottom w:w="14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1E40AF"/>
                <w:sz w:val="28"/>
              </w:rPr>
              <w:t>♿</w:t>
            </w:r>
          </w:p>
        </w:tc>
        <w:tc>
          <w:tcPr>
            <w:tcW w:type="dxa" w:w="4536"/>
            <w:shd w:val="clear" w:color="auto" w:fill="EFF6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0" w:type="dxa"/>
              <w:bottom w:w="140" w:type="dxa"/>
              <w:left w:w="120" w:type="dxa"/>
              <w:right w:w="160" w:type="dxa"/>
            </w:tcMar>
          </w:tcPr>
          <w:p>
            <w:pPr>
              <w:spacing w:before="0" w:after="60" w:line="300" w:lineRule="exact"/>
            </w:pPr>
            <w:r>
              <w:rPr>
                <w:b/>
                <w:i w:val="0"/>
                <w:color w:val="1E40AF"/>
                <w:sz w:val="22"/>
              </w:rPr>
              <w:t>Problema de Acessibilidade</w:t>
              <w:br/>
            </w:r>
            <w:r>
              <w:rPr>
                <w:b w:val="0"/>
                <w:i w:val="0"/>
                <w:color w:val="1E40AF"/>
                <w:sz w:val="22"/>
              </w:rPr>
              <w:t>Leitores de tela utilizados por pessoas com deficiência visual não conseguem interpretar o conteúdo de uma imagem. Uma fórmula inserida como imagem simplesmente não existe para esse grupo de estudantes — tornando o conteúdo inacessível e potencialmente em desconformidade com as diretrizes WCAG 2.1.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b/>
          <w:i w:val="0"/>
          <w:color w:val="334155"/>
          <w:sz w:val="18"/>
        </w:rPr>
        <w:t>O FLUXO ATUAL SEM AUTOMAÇÃO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1.  </w:t>
      </w:r>
      <w:r>
        <w:rPr>
          <w:b w:val="0"/>
          <w:i w:val="0"/>
          <w:color w:val="374151"/>
          <w:sz w:val="22"/>
        </w:rPr>
        <w:t>Identificar a fórmula no material FIC (imagem)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2.  </w:t>
      </w:r>
      <w:r>
        <w:rPr>
          <w:b w:val="0"/>
          <w:i w:val="0"/>
          <w:color w:val="374151"/>
          <w:sz w:val="22"/>
        </w:rPr>
        <w:t>Abrir o editor LaTeX no Canvas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3.  </w:t>
      </w:r>
      <w:r>
        <w:rPr>
          <w:b w:val="0"/>
          <w:i w:val="0"/>
          <w:color w:val="374151"/>
          <w:sz w:val="22"/>
        </w:rPr>
        <w:t>Tentar reconstituir manualmente o código LaTeX correspondente à imagem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4.  </w:t>
      </w:r>
      <w:r>
        <w:rPr>
          <w:b w:val="0"/>
          <w:i w:val="0"/>
          <w:color w:val="374151"/>
          <w:sz w:val="22"/>
        </w:rPr>
        <w:t>Quando o conhecimento técnico não é suficiente, copiar a imagem e colar no ChatGPT gratuito para obter sugestão de código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5.  </w:t>
      </w:r>
      <w:r>
        <w:rPr>
          <w:b w:val="0"/>
          <w:i w:val="0"/>
          <w:color w:val="374151"/>
          <w:sz w:val="22"/>
        </w:rPr>
        <w:t>Copiar o código sugerido e colar no editor do Canvas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6.  </w:t>
      </w:r>
      <w:r>
        <w:rPr>
          <w:b w:val="0"/>
          <w:i w:val="0"/>
          <w:color w:val="374151"/>
          <w:sz w:val="22"/>
        </w:rPr>
        <w:t>Verificar se a renderização está correta; ajustar se necessário</w:t>
      </w:r>
    </w:p>
    <w:p>
      <w:pPr>
        <w:spacing w:before="0" w:after="160"/>
      </w:pPr>
    </w:p>
    <w:p>
      <w:pPr>
        <w:spacing w:before="200" w:after="60"/>
      </w:pPr>
      <w:r>
        <w:rPr>
          <w:b/>
          <w:i w:val="0"/>
          <w:color w:val="334155"/>
          <w:sz w:val="18"/>
        </w:rPr>
        <w:t>LIMITAÇÕES GRAVES DO FLUXO ATUAL</w:t>
      </w: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Problema</w:t>
            </w:r>
          </w:p>
        </w:tc>
        <w:tc>
          <w:tcPr>
            <w:tcW w:type="dxa" w:w="4536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4536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Reconstituição manual exige conhecimento avançado em LaTeX</w:t>
            </w:r>
          </w:p>
        </w:tc>
        <w:tc>
          <w:tcPr>
            <w:tcW w:type="dxa" w:w="4536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Nem todos os membros da equipe dominam a sintaxe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Processo lento por fórmula</w:t>
            </w:r>
          </w:p>
        </w:tc>
        <w:tc>
          <w:tcPr>
            <w:tcW w:type="dxa" w:w="4536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Cada fórmula pode levar de 3 a 10 minutos</w:t>
            </w:r>
          </w:p>
        </w:tc>
      </w:tr>
      <w:tr>
        <w:tc>
          <w:tcPr>
            <w:tcW w:type="dxa" w:w="4536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ChatGPT gratuito atinge limite de uso</w:t>
            </w:r>
          </w:p>
        </w:tc>
        <w:tc>
          <w:tcPr>
            <w:tcW w:type="dxa" w:w="4536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Bloqueia novas solicitações no meio do trabalho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Dependência de ferramentas externas não integradas</w:t>
            </w:r>
          </w:p>
        </w:tc>
        <w:tc>
          <w:tcPr>
            <w:tcW w:type="dxa" w:w="4536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Múltiplos passos manuais entre abas e aplicações</w:t>
            </w:r>
          </w:p>
        </w:tc>
      </w:tr>
      <w:tr>
        <w:tc>
          <w:tcPr>
            <w:tcW w:type="dxa" w:w="4536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Sujeito a erro humano</w:t>
            </w:r>
          </w:p>
        </w:tc>
        <w:tc>
          <w:tcPr>
            <w:tcW w:type="dxa" w:w="4536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Código LaTeX incorreto gera fórmula errada sem aviso imediato</w:t>
            </w:r>
          </w:p>
        </w:tc>
      </w:tr>
    </w:tbl>
    <w:p>
      <w:pPr>
        <w:spacing w:before="0" w:after="200"/>
      </w:pPr>
    </w:p>
    <w:p>
      <w:pPr>
        <w:pBdr>
          <w:bottom w:val="single" w:sz="6" w:space="1" w:color="CBD5E1"/>
        </w:pBdr>
        <w:spacing w:before="180" w:after="180"/>
      </w:pPr>
    </w:p>
    <w:p>
      <w:pPr>
        <w:shd w:val="clear" w:color="auto" w:fill="EFF6FF"/>
        <w:spacing w:before="200" w:after="60"/>
        <w:ind w:left="0" w:right="0"/>
      </w:pPr>
      <w:r>
        <w:rPr>
          <w:b/>
          <w:i w:val="0"/>
          <w:color w:val="FFFFFF"/>
          <w:sz w:val="26"/>
          <w:shd w:val="clear" w:color="auto" w:fill="1E3A5F"/>
        </w:rPr>
        <w:t xml:space="preserve">  3  </w:t>
      </w:r>
      <w:r>
        <w:rPr>
          <w:b/>
          <w:i w:val="0"/>
          <w:color w:val="1E3A5F"/>
          <w:sz w:val="28"/>
        </w:rPr>
        <w:t xml:space="preserve">   Como Obter Acesso à API</w:t>
      </w:r>
    </w:p>
    <w:p>
      <w:pPr>
        <w:spacing w:before="0" w:after="140" w:line="320" w:lineRule="exact"/>
      </w:pPr>
      <w:r>
        <w:rPr>
          <w:b w:val="0"/>
          <w:i w:val="0"/>
          <w:color w:val="374151"/>
          <w:sz w:val="22"/>
        </w:rPr>
        <w:t>Para utilizar a solução proposta, é necessário criar uma conta em uma das plataformas abaixo, adicionar créditos e gerar uma chave de API. O processo é simples e leva menos de 10 minutos.</w:t>
      </w:r>
    </w:p>
    <w:p>
      <w:pPr>
        <w:spacing w:before="200" w:after="60"/>
      </w:pPr>
      <w:r>
        <w:rPr>
          <w:b/>
          <w:i w:val="0"/>
          <w:color w:val="334155"/>
          <w:sz w:val="18"/>
        </w:rPr>
        <w:t>OPÇÃO A — OPENAI (CHAVE DIRETA, PREFIXO SK-…)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1.  </w:t>
      </w:r>
      <w:r>
        <w:rPr>
          <w:b w:val="0"/>
          <w:i w:val="0"/>
          <w:color w:val="374151"/>
          <w:sz w:val="22"/>
        </w:rPr>
        <w:t>Acesse platform.openai.com e clique em "Sign up" para criar uma conta (ou "Log in" se já possuir)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2.  </w:t>
      </w:r>
      <w:r>
        <w:rPr>
          <w:b w:val="0"/>
          <w:i w:val="0"/>
          <w:color w:val="374151"/>
          <w:sz w:val="22"/>
        </w:rPr>
        <w:t>Após o login, acesse o menu "Settings" &gt; "Billing"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3.  </w:t>
      </w:r>
      <w:r>
        <w:rPr>
          <w:b w:val="0"/>
          <w:i w:val="0"/>
          <w:color w:val="374151"/>
          <w:sz w:val="22"/>
        </w:rPr>
        <w:t>Clique em "Add payment method" e cadastre um cartão de crédito/débito internacional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4.  </w:t>
      </w:r>
      <w:r>
        <w:rPr>
          <w:b w:val="0"/>
          <w:i w:val="0"/>
          <w:color w:val="374151"/>
          <w:sz w:val="22"/>
        </w:rPr>
        <w:t>Em "Usage limits", defina o limite mensal recomendado de $5,00 USD para controle de gastos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5.  </w:t>
      </w:r>
      <w:r>
        <w:rPr>
          <w:b w:val="0"/>
          <w:i w:val="0"/>
          <w:color w:val="374151"/>
          <w:sz w:val="22"/>
        </w:rPr>
        <w:t>Acesse o menu "API keys" no painel lateral e clique em "Create new secret key"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6.  </w:t>
      </w:r>
      <w:r>
        <w:rPr>
          <w:b w:val="0"/>
          <w:i w:val="0"/>
          <w:color w:val="374151"/>
          <w:sz w:val="22"/>
        </w:rPr>
        <w:t>Dê um nome à chave (ex: "Canvas LaTeX") e clique em "Create secret key"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7.  </w:t>
      </w:r>
      <w:r>
        <w:rPr>
          <w:b w:val="0"/>
          <w:i w:val="0"/>
          <w:color w:val="374151"/>
          <w:sz w:val="22"/>
        </w:rPr>
        <w:t>Copie e guarde a chave gerada — ela começa com sk-… e é exibida apenas uma vez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8.  </w:t>
      </w:r>
      <w:r>
        <w:rPr>
          <w:b w:val="0"/>
          <w:i w:val="0"/>
          <w:color w:val="374151"/>
          <w:sz w:val="22"/>
        </w:rPr>
        <w:t>Cole a chave no campo "Chave API" da extensão Chrome em ⚙ Configurações</w:t>
      </w:r>
    </w:p>
    <w:p>
      <w:pPr>
        <w:spacing w:before="0" w:after="200"/>
      </w:pPr>
    </w:p>
    <w:p>
      <w:pPr>
        <w:spacing w:before="200" w:after="60"/>
      </w:pPr>
      <w:r>
        <w:rPr>
          <w:b/>
          <w:i w:val="0"/>
          <w:color w:val="334155"/>
          <w:sz w:val="18"/>
        </w:rPr>
        <w:t>OPÇÃO B — OPENROUTER (PREFIXO SK-OR-…, ALTERNATIVA COM MAIS FLEXIBILIDADE)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1.  </w:t>
      </w:r>
      <w:r>
        <w:rPr>
          <w:b w:val="0"/>
          <w:i w:val="0"/>
          <w:color w:val="374151"/>
          <w:sz w:val="22"/>
        </w:rPr>
        <w:t>Acesse openrouter.ai e clique em "Sign in" para criar uma conta (aceita login com Google)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2.  </w:t>
      </w:r>
      <w:r>
        <w:rPr>
          <w:b w:val="0"/>
          <w:i w:val="0"/>
          <w:color w:val="374151"/>
          <w:sz w:val="22"/>
        </w:rPr>
        <w:t>Após o login, acesse "Credits" no menu superior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3.  </w:t>
      </w:r>
      <w:r>
        <w:rPr>
          <w:b w:val="0"/>
          <w:i w:val="0"/>
          <w:color w:val="374151"/>
          <w:sz w:val="22"/>
        </w:rPr>
        <w:t>Clique em "Buy credits" e adicione créditos via cartão (valor mínimo geralmente de $5,00 USD)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4.  </w:t>
      </w:r>
      <w:r>
        <w:rPr>
          <w:b w:val="0"/>
          <w:i w:val="0"/>
          <w:color w:val="374151"/>
          <w:sz w:val="22"/>
        </w:rPr>
        <w:t>Acesse "Keys" no menu superior e clique em "Create Key"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5.  </w:t>
      </w:r>
      <w:r>
        <w:rPr>
          <w:b w:val="0"/>
          <w:i w:val="0"/>
          <w:color w:val="374151"/>
          <w:sz w:val="22"/>
        </w:rPr>
        <w:t>Dê um nome à chave e defina um limite de crédito opcional para segurança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6.  </w:t>
      </w:r>
      <w:r>
        <w:rPr>
          <w:b w:val="0"/>
          <w:i w:val="0"/>
          <w:color w:val="374151"/>
          <w:sz w:val="22"/>
        </w:rPr>
        <w:t>Copie a chave gerada — ela começa com sk-or-… e é exibida apenas uma vez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7.  </w:t>
      </w:r>
      <w:r>
        <w:rPr>
          <w:b w:val="0"/>
          <w:i w:val="0"/>
          <w:color w:val="374151"/>
          <w:sz w:val="22"/>
        </w:rPr>
        <w:t>Cole a chave no campo "Chave API" da extensão Chrome em ⚙ Configurações</w:t>
      </w:r>
    </w:p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536"/>
        <w:gridCol w:w="4536"/>
      </w:tblGrid>
      <w:tr>
        <w:tc>
          <w:tcPr>
            <w:tcW w:type="dxa" w:w="680"/>
            <w:shd w:val="clear" w:color="auto" w:fill="EFF6FF"/>
            <w:tcBorders>
              <w:top w:val="none"/>
              <w:right w:val="none"/>
              <w:bottom w:val="none"/>
              <w:insideH w:val="none"/>
              <w:insideV w:val="none"/>
              <w:left w:val="single" w:sz="20" w:space="0" w:color="2563EB"/>
            </w:tcBorders>
            <w:tcMar>
              <w:top w:w="140" w:type="dxa"/>
              <w:bottom w:w="14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1E40AF"/>
                <w:sz w:val="28"/>
              </w:rPr>
              <w:t>💡</w:t>
            </w:r>
          </w:p>
        </w:tc>
        <w:tc>
          <w:tcPr>
            <w:tcW w:type="dxa" w:w="4536"/>
            <w:shd w:val="clear" w:color="auto" w:fill="EFF6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0" w:type="dxa"/>
              <w:bottom w:w="140" w:type="dxa"/>
              <w:left w:w="120" w:type="dxa"/>
              <w:right w:w="160" w:type="dxa"/>
            </w:tcMar>
          </w:tcPr>
          <w:p>
            <w:pPr>
              <w:spacing w:before="0" w:after="60" w:line="300" w:lineRule="exact"/>
            </w:pPr>
            <w:r>
              <w:rPr>
                <w:b/>
                <w:i w:val="0"/>
                <w:color w:val="1E40AF"/>
                <w:sz w:val="22"/>
              </w:rPr>
              <w:t>Qual plataforma escolher?</w:t>
              <w:br/>
            </w:r>
            <w:r>
              <w:rPr>
                <w:b w:val="0"/>
                <w:i w:val="0"/>
                <w:color w:val="1E40AF"/>
                <w:sz w:val="22"/>
              </w:rPr>
              <w:t>Ambas funcionam com a extensão. A OpenAI é a opção mais direta (mesmo provedor do GPT-4o). O OpenRouter oferece mais opções de modelos e pode ser vantajoso para quem já usa outras IAs. Para o uso descrito neste relatório, qualquer uma das duas atende plenamente.</w:t>
            </w:r>
          </w:p>
        </w:tc>
      </w:tr>
    </w:tbl>
    <w:p>
      <w:pPr>
        <w:spacing w:before="0" w:after="160"/>
      </w:pPr>
    </w:p>
    <w:p>
      <w:pPr>
        <w:pBdr>
          <w:bottom w:val="single" w:sz="6" w:space="1" w:color="CBD5E1"/>
        </w:pBdr>
        <w:spacing w:before="180" w:after="180"/>
      </w:pPr>
    </w:p>
    <w:p>
      <w:pPr>
        <w:shd w:val="clear" w:color="auto" w:fill="EFF6FF"/>
        <w:spacing w:before="200" w:after="60"/>
        <w:ind w:left="0" w:right="0"/>
      </w:pPr>
      <w:r>
        <w:rPr>
          <w:b/>
          <w:i w:val="0"/>
          <w:color w:val="FFFFFF"/>
          <w:sz w:val="26"/>
          <w:shd w:val="clear" w:color="auto" w:fill="1E3A5F"/>
        </w:rPr>
        <w:t xml:space="preserve">  4  </w:t>
      </w:r>
      <w:r>
        <w:rPr>
          <w:b/>
          <w:i w:val="0"/>
          <w:color w:val="1E3A5F"/>
          <w:sz w:val="28"/>
        </w:rPr>
        <w:t xml:space="preserve">   Solução Proposta</w:t>
      </w:r>
    </w:p>
    <w:p>
      <w:pPr>
        <w:spacing w:before="0" w:after="140" w:line="320" w:lineRule="exact"/>
      </w:pPr>
      <w:r>
        <w:rPr>
          <w:b w:val="0"/>
          <w:i w:val="0"/>
          <w:color w:val="374151"/>
          <w:sz w:val="22"/>
        </w:rPr>
        <w:t xml:space="preserve">A solução proposta consiste na utilização de uma extensão do Chrome com uma funcionalidade específica: a </w:t>
      </w:r>
      <w:r>
        <w:rPr>
          <w:b/>
          <w:i w:val="0"/>
          <w:color w:val="1E3A5F"/>
          <w:sz w:val="22"/>
        </w:rPr>
        <w:t>conversão automática de imagem de fórmula para código LaTeX com um único clique</w:t>
      </w:r>
      <w:r>
        <w:rPr>
          <w:b w:val="0"/>
          <w:i w:val="0"/>
          <w:color w:val="374151"/>
          <w:sz w:val="22"/>
        </w:rPr>
        <w:t>. Para isso é necessária uma chave de API de inteligência artificial que permita à extensão processar as imagens das fórmulas.</w:t>
      </w:r>
    </w:p>
    <w:p>
      <w:pPr>
        <w:spacing w:before="200" w:after="60"/>
      </w:pPr>
      <w:r>
        <w:rPr>
          <w:b/>
          <w:i w:val="0"/>
          <w:color w:val="334155"/>
          <w:sz w:val="18"/>
        </w:rPr>
        <w:t>COMO FUNCIONA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1.  </w:t>
      </w:r>
      <w:r>
        <w:rPr>
          <w:b w:val="0"/>
          <w:i w:val="0"/>
          <w:color w:val="374151"/>
          <w:sz w:val="22"/>
        </w:rPr>
        <w:t>O colaborador identifica a imagem da fórmula no material (página web, PDF no navegador ou material do Canvas)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2.  </w:t>
      </w:r>
      <w:r>
        <w:rPr>
          <w:b w:val="0"/>
          <w:i w:val="0"/>
          <w:color w:val="374151"/>
          <w:sz w:val="22"/>
        </w:rPr>
        <w:t>Clica com o botão direito sobre a imagem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3.  </w:t>
      </w:r>
      <w:r>
        <w:rPr>
          <w:b w:val="0"/>
          <w:i w:val="0"/>
          <w:color w:val="374151"/>
          <w:sz w:val="22"/>
        </w:rPr>
        <w:t>Seleciona "Converter fórmula para LaTeX" no menu de contexto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4.  </w:t>
      </w:r>
      <w:r>
        <w:rPr>
          <w:b w:val="0"/>
          <w:i w:val="0"/>
          <w:color w:val="374151"/>
          <w:sz w:val="22"/>
        </w:rPr>
        <w:t>A extensão envia a imagem automaticamente para a API de IA configurada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5.  </w:t>
      </w:r>
      <w:r>
        <w:rPr>
          <w:b w:val="0"/>
          <w:i w:val="0"/>
          <w:color w:val="374151"/>
          <w:sz w:val="22"/>
        </w:rPr>
        <w:t>O modelo analisa a imagem e identifica a fórmula matemática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6.  </w:t>
      </w:r>
      <w:r>
        <w:rPr>
          <w:b w:val="0"/>
          <w:i w:val="0"/>
          <w:color w:val="374151"/>
          <w:sz w:val="22"/>
        </w:rPr>
        <w:t>O código LaTeX é copiado diretamente para a área de transferência — Ctrl+V já está pronto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D4ED8"/>
          <w:sz w:val="22"/>
        </w:rPr>
        <w:t xml:space="preserve">7.  </w:t>
      </w:r>
      <w:r>
        <w:rPr>
          <w:b w:val="0"/>
          <w:i w:val="0"/>
          <w:color w:val="374151"/>
          <w:sz w:val="22"/>
        </w:rPr>
        <w:t>No editor LaTeX do Canvas, basta colar — a fórmula aparece renderizada corretamente</w:t>
      </w:r>
    </w:p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536"/>
        <w:gridCol w:w="4536"/>
      </w:tblGrid>
      <w:tr>
        <w:tc>
          <w:tcPr>
            <w:tcW w:type="dxa" w:w="680"/>
            <w:shd w:val="clear" w:color="auto" w:fill="EFF6FF"/>
            <w:tcBorders>
              <w:top w:val="none"/>
              <w:right w:val="none"/>
              <w:bottom w:val="none"/>
              <w:insideH w:val="none"/>
              <w:insideV w:val="none"/>
              <w:left w:val="single" w:sz="20" w:space="0" w:color="2563EB"/>
            </w:tcBorders>
            <w:tcMar>
              <w:top w:w="140" w:type="dxa"/>
              <w:bottom w:w="14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1E40AF"/>
                <w:sz w:val="28"/>
              </w:rPr>
              <w:t>⚡</w:t>
            </w:r>
          </w:p>
        </w:tc>
        <w:tc>
          <w:tcPr>
            <w:tcW w:type="dxa" w:w="4536"/>
            <w:shd w:val="clear" w:color="auto" w:fill="EFF6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0" w:type="dxa"/>
              <w:bottom w:w="140" w:type="dxa"/>
              <w:left w:w="120" w:type="dxa"/>
              <w:right w:w="160" w:type="dxa"/>
            </w:tcMar>
          </w:tcPr>
          <w:p>
            <w:pPr>
              <w:spacing w:before="0" w:after="60" w:line="300" w:lineRule="exact"/>
            </w:pPr>
            <w:r>
              <w:rPr>
                <w:b/>
                <w:i w:val="0"/>
                <w:color w:val="1E40AF"/>
                <w:sz w:val="22"/>
              </w:rPr>
              <w:t>Tempo total: aproximadamente 5 a 10 segundos.</w:t>
              <w:br/>
            </w:r>
            <w:r>
              <w:rPr>
                <w:b w:val="0"/>
                <w:i w:val="0"/>
                <w:color w:val="1E40AF"/>
                <w:sz w:val="22"/>
              </w:rPr>
              <w:t>Sem abrir nenhuma aba adicional, sem copiar para outro site, sem aguardar interfaces carregarem.</w:t>
            </w:r>
          </w:p>
        </w:tc>
      </w:tr>
    </w:tbl>
    <w:p>
      <w:pPr>
        <w:spacing w:before="0" w:after="160"/>
      </w:pPr>
    </w:p>
    <w:p>
      <w:pPr>
        <w:spacing w:before="200" w:after="60"/>
      </w:pPr>
      <w:r>
        <w:rPr>
          <w:b/>
          <w:i w:val="0"/>
          <w:color w:val="334155"/>
          <w:sz w:val="18"/>
        </w:rPr>
        <w:t>TECNOLOGIA UTILIZADA</w:t>
      </w:r>
    </w:p>
    <w:p>
      <w:pPr>
        <w:spacing w:before="0" w:after="140" w:line="320" w:lineRule="exact"/>
      </w:pPr>
      <w:r>
        <w:rPr>
          <w:b w:val="0"/>
          <w:i w:val="0"/>
          <w:color w:val="374151"/>
          <w:sz w:val="22"/>
        </w:rPr>
        <w:t xml:space="preserve">A extensão utiliza o modelo </w:t>
      </w:r>
      <w:r>
        <w:rPr>
          <w:b/>
          <w:i w:val="0"/>
          <w:color w:val="1E3A5F"/>
          <w:sz w:val="22"/>
        </w:rPr>
        <w:t>GPT-4o (OpenAI)</w:t>
      </w:r>
      <w:r>
        <w:rPr>
          <w:b w:val="0"/>
          <w:i w:val="0"/>
          <w:color w:val="374151"/>
          <w:sz w:val="22"/>
        </w:rPr>
        <w:t>, com capacidade de visão computacional — analisa imagens e interpreta fórmulas matemáticas com alta precisão.</w:t>
      </w: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Tipo de chave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Prefixo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Endpoint utilizado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OpenAI (direta)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sk-…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api.openai.com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OpenRouter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sk-or-…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openrouter.ai</w:t>
            </w:r>
          </w:p>
        </w:tc>
      </w:tr>
    </w:tbl>
    <w:p>
      <w:pPr>
        <w:spacing w:before="0" w:after="200"/>
      </w:pPr>
    </w:p>
    <w:p>
      <w:pPr>
        <w:pBdr>
          <w:bottom w:val="single" w:sz="6" w:space="1" w:color="CBD5E1"/>
        </w:pBdr>
        <w:spacing w:before="180" w:after="180"/>
      </w:pPr>
    </w:p>
    <w:p>
      <w:pPr>
        <w:shd w:val="clear" w:color="auto" w:fill="EFF6FF"/>
        <w:spacing w:before="200" w:after="60"/>
        <w:ind w:left="0" w:right="0"/>
      </w:pPr>
      <w:r>
        <w:rPr>
          <w:b/>
          <w:i w:val="0"/>
          <w:color w:val="FFFFFF"/>
          <w:sz w:val="26"/>
          <w:shd w:val="clear" w:color="auto" w:fill="1E3A5F"/>
        </w:rPr>
        <w:t xml:space="preserve">  5  </w:t>
      </w:r>
      <w:r>
        <w:rPr>
          <w:b/>
          <w:i w:val="0"/>
          <w:color w:val="1E3A5F"/>
          <w:sz w:val="28"/>
        </w:rPr>
        <w:t xml:space="preserve">   Benefícios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50" w:line="320" w:lineRule="exact"/>
            </w:pPr>
            <w:r>
              <w:rPr>
                <w:b w:val="0"/>
                <w:i w:val="0"/>
                <w:color w:val="1E3A5F"/>
                <w:sz w:val="32"/>
              </w:rPr>
              <w:t>⚡</w:t>
              <w:br/>
            </w:r>
            <w:r>
              <w:rPr>
                <w:b/>
                <w:i w:val="0"/>
                <w:color w:val="1E293B"/>
                <w:sz w:val="22"/>
              </w:rPr>
              <w:t>Produtividade</w:t>
              <w:br/>
            </w:r>
            <w:r>
              <w:rPr>
                <w:b w:val="0"/>
                <w:i w:val="0"/>
                <w:color w:val="64748B"/>
                <w:sz w:val="20"/>
              </w:rPr>
              <w:t>Redução de 80 a 95% no tempo por fórmula. Em um material com 10 fórmulas, economia de 40 a 120 minutos.</w:t>
            </w:r>
          </w:p>
        </w:tc>
        <w:tc>
          <w:tcPr>
            <w:tcW w:type="dxa" w:w="4536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50" w:line="320" w:lineRule="exact"/>
            </w:pPr>
            <w:r>
              <w:rPr>
                <w:b w:val="0"/>
                <w:i w:val="0"/>
                <w:color w:val="1E3A5F"/>
                <w:sz w:val="32"/>
              </w:rPr>
              <w:t>♿</w:t>
              <w:br/>
            </w:r>
            <w:r>
              <w:rPr>
                <w:b/>
                <w:i w:val="0"/>
                <w:color w:val="1E293B"/>
                <w:sz w:val="22"/>
              </w:rPr>
              <w:t>Acessibilidade garantida</w:t>
              <w:br/>
            </w:r>
            <w:r>
              <w:rPr>
                <w:b w:val="0"/>
                <w:i w:val="0"/>
                <w:color w:val="64748B"/>
                <w:sz w:val="20"/>
              </w:rPr>
              <w:t>Toda fórmula em LaTeX é legível por leitores de tela, cumprindo as diretrizes WCAG 2.1 nível AA.</w:t>
            </w:r>
          </w:p>
        </w:tc>
      </w:tr>
    </w:tbl>
    <w:p>
      <w:pPr>
        <w:spacing w:before="0" w:after="10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50" w:line="320" w:lineRule="exact"/>
            </w:pPr>
            <w:r>
              <w:rPr>
                <w:b w:val="0"/>
                <w:i w:val="0"/>
                <w:color w:val="1E3A5F"/>
                <w:sz w:val="32"/>
              </w:rPr>
              <w:t>♾</w:t>
              <w:br/>
            </w:r>
            <w:r>
              <w:rPr>
                <w:b/>
                <w:i w:val="0"/>
                <w:color w:val="1E293B"/>
                <w:sz w:val="22"/>
              </w:rPr>
              <w:t>Sem limite de uso</w:t>
              <w:br/>
            </w:r>
            <w:r>
              <w:rPr>
                <w:b w:val="0"/>
                <w:i w:val="0"/>
                <w:color w:val="64748B"/>
                <w:sz w:val="20"/>
              </w:rPr>
              <w:t>Diferente do ChatGPT gratuito, a API é ilimitada — cada requisição é cobrada individualmente.</w:t>
            </w:r>
          </w:p>
        </w:tc>
        <w:tc>
          <w:tcPr>
            <w:tcW w:type="dxa" w:w="4536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50" w:line="320" w:lineRule="exact"/>
            </w:pPr>
            <w:r>
              <w:rPr>
                <w:b w:val="0"/>
                <w:i w:val="0"/>
                <w:color w:val="1E3A5F"/>
                <w:sz w:val="32"/>
              </w:rPr>
              <w:t>🎯</w:t>
              <w:br/>
            </w:r>
            <w:r>
              <w:rPr>
                <w:b/>
                <w:i w:val="0"/>
                <w:color w:val="1E293B"/>
                <w:sz w:val="22"/>
              </w:rPr>
              <w:t>Alta precisão</w:t>
              <w:br/>
            </w:r>
            <w:r>
              <w:rPr>
                <w:b w:val="0"/>
                <w:i w:val="0"/>
                <w:color w:val="64748B"/>
                <w:sz w:val="20"/>
              </w:rPr>
              <w:t>GPT-4o interpreta frações, somatórios, integrais, vetores e expressões complexas com alta fidelidade.</w:t>
            </w:r>
          </w:p>
        </w:tc>
      </w:tr>
    </w:tbl>
    <w:p>
      <w:pPr>
        <w:spacing w:before="0" w:after="10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536"/>
        <w:gridCol w:w="4536"/>
      </w:tblGrid>
      <w:tr>
        <w:tc>
          <w:tcPr>
            <w:tcW w:type="dxa" w:w="4536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50" w:line="320" w:lineRule="exact"/>
            </w:pPr>
            <w:r>
              <w:rPr>
                <w:b w:val="0"/>
                <w:i w:val="0"/>
                <w:color w:val="1E3A5F"/>
                <w:sz w:val="32"/>
              </w:rPr>
              <w:t>🔗</w:t>
              <w:br/>
            </w:r>
            <w:r>
              <w:rPr>
                <w:b/>
                <w:i w:val="0"/>
                <w:color w:val="1E293B"/>
                <w:sz w:val="22"/>
              </w:rPr>
              <w:t>Integrado ao fluxo</w:t>
              <w:br/>
            </w:r>
            <w:r>
              <w:rPr>
                <w:b w:val="0"/>
                <w:i w:val="0"/>
                <w:color w:val="64748B"/>
                <w:sz w:val="20"/>
              </w:rPr>
              <w:t>Funciona direto no navegador, sem trocar de aba ou abrir ferramentas externas.</w:t>
            </w:r>
          </w:p>
        </w:tc>
        <w:tc>
          <w:tcPr>
            <w:tcW w:type="dxa" w:w="4536"/>
            <w:shd w:val="clear" w:color="auto" w:fill="F8FAFC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before="0" w:after="50" w:line="320" w:lineRule="exact"/>
            </w:pPr>
            <w:r>
              <w:rPr>
                <w:b w:val="0"/>
                <w:i w:val="0"/>
                <w:color w:val="1E3A5F"/>
                <w:sz w:val="32"/>
              </w:rPr>
              <w:t>👥</w:t>
              <w:br/>
            </w:r>
            <w:r>
              <w:rPr>
                <w:b/>
                <w:i w:val="0"/>
                <w:color w:val="1E293B"/>
                <w:sz w:val="22"/>
              </w:rPr>
              <w:t>Democrático</w:t>
              <w:br/>
            </w:r>
            <w:r>
              <w:rPr>
                <w:b w:val="0"/>
                <w:i w:val="0"/>
                <w:color w:val="64748B"/>
                <w:sz w:val="20"/>
              </w:rPr>
              <w:t>Não exige conhecimento em LaTeX — qualquer membro da equipe consegue usar com um clique.</w:t>
            </w:r>
          </w:p>
        </w:tc>
      </w:tr>
    </w:tbl>
    <w:p>
      <w:pPr>
        <w:spacing w:before="0" w:after="100"/>
      </w:pPr>
    </w:p>
    <w:p>
      <w:pPr>
        <w:spacing w:before="0" w:after="120"/>
      </w:pPr>
    </w:p>
    <w:p>
      <w:pPr>
        <w:spacing w:before="200" w:after="60"/>
      </w:pPr>
      <w:r>
        <w:rPr>
          <w:b/>
          <w:i w:val="0"/>
          <w:color w:val="334155"/>
          <w:sz w:val="18"/>
        </w:rPr>
        <w:t>COMPARATIVO DE TEMPO ESTIMADO</w:t>
      </w: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Antes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Depois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Identificar e copiar fórmula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~1 min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5 seg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Obter código LaTeX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3 – 10 min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automático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Colar e verificar no Canvas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1 – 2 min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~30 seg</w:t>
            </w:r>
          </w:p>
        </w:tc>
      </w:tr>
      <w:tr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Total estimado por fórmula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5 – 13 minutos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~1 minuto</w:t>
            </w:r>
          </w:p>
        </w:tc>
      </w:tr>
    </w:tbl>
    <w:p>
      <w:pPr>
        <w:spacing w:before="0" w:after="200"/>
      </w:pPr>
    </w:p>
    <w:p>
      <w:pPr>
        <w:pBdr>
          <w:bottom w:val="single" w:sz="6" w:space="1" w:color="CBD5E1"/>
        </w:pBdr>
        <w:spacing w:before="180" w:after="180"/>
      </w:pPr>
    </w:p>
    <w:p>
      <w:pPr>
        <w:shd w:val="clear" w:color="auto" w:fill="EFF6FF"/>
        <w:spacing w:before="200" w:after="60"/>
        <w:ind w:left="0" w:right="0"/>
      </w:pPr>
      <w:r>
        <w:rPr>
          <w:b/>
          <w:i w:val="0"/>
          <w:color w:val="FFFFFF"/>
          <w:sz w:val="26"/>
          <w:shd w:val="clear" w:color="auto" w:fill="1E3A5F"/>
        </w:rPr>
        <w:t xml:space="preserve">  6  </w:t>
      </w:r>
      <w:r>
        <w:rPr>
          <w:b/>
          <w:i w:val="0"/>
          <w:color w:val="1E3A5F"/>
          <w:sz w:val="28"/>
        </w:rPr>
        <w:t xml:space="preserve">   Justificativa Técnica da Escolha</w:t>
      </w: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ChatGPT Gratuito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API (OpenAI / OpenRouter)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Limite de uso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Sim — interrompível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Não — pay-as-you-go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Integração com extensão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Impossível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Sim, via REST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Automação (1 clique)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Impossível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Sim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Controle da chave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Não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Sim — revogável a qualquer momento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Interpretação de imagem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Manual (usuário descreve)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Automática (visão computacional)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Custo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Gratuito com limitações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Muito baixo — centavos por fórmula</w:t>
            </w:r>
          </w:p>
        </w:tc>
      </w:tr>
    </w:tbl>
    <w:p>
      <w:pPr>
        <w:spacing w:before="0" w:after="200"/>
      </w:pPr>
    </w:p>
    <w:p>
      <w:pPr>
        <w:spacing w:before="0" w:after="140" w:line="320" w:lineRule="exact"/>
      </w:pPr>
      <w:r>
        <w:rPr>
          <w:b w:val="0"/>
          <w:i w:val="0"/>
          <w:color w:val="374151"/>
          <w:sz w:val="22"/>
        </w:rPr>
        <w:t xml:space="preserve">O GPT-4o é um modelo </w:t>
      </w:r>
      <w:r>
        <w:rPr>
          <w:b/>
          <w:i w:val="0"/>
          <w:color w:val="1E3A5F"/>
          <w:sz w:val="22"/>
        </w:rPr>
        <w:t>multimodal</w:t>
      </w:r>
      <w:r>
        <w:rPr>
          <w:b w:val="0"/>
          <w:i w:val="0"/>
          <w:color w:val="374151"/>
          <w:sz w:val="22"/>
        </w:rPr>
        <w:t xml:space="preserve"> — processa texto e imagens. Sua capacidade de interpretar fórmulas matemáticas a partir de imagens é superior a modelos menores ou soluções OCR tradicionais, que frequentemente falham com notações complexas.</w:t>
      </w:r>
    </w:p>
    <w:p>
      <w:pPr>
        <w:pBdr>
          <w:bottom w:val="single" w:sz="6" w:space="1" w:color="CBD5E1"/>
        </w:pBdr>
        <w:spacing w:before="180" w:after="180"/>
      </w:pPr>
    </w:p>
    <w:p>
      <w:pPr>
        <w:shd w:val="clear" w:color="auto" w:fill="EFF6FF"/>
        <w:spacing w:before="200" w:after="60"/>
        <w:ind w:left="0" w:right="0"/>
      </w:pPr>
      <w:r>
        <w:rPr>
          <w:b/>
          <w:i w:val="0"/>
          <w:color w:val="FFFFFF"/>
          <w:sz w:val="26"/>
          <w:shd w:val="clear" w:color="auto" w:fill="1E3A5F"/>
        </w:rPr>
        <w:t xml:space="preserve">  7  </w:t>
      </w:r>
      <w:r>
        <w:rPr>
          <w:b/>
          <w:i w:val="0"/>
          <w:color w:val="1E3A5F"/>
          <w:sz w:val="28"/>
        </w:rPr>
        <w:t xml:space="preserve">   Custos e Viabilidade</w:t>
      </w:r>
    </w:p>
    <w:p>
      <w:pPr>
        <w:spacing w:before="0" w:after="140" w:line="320" w:lineRule="exact"/>
      </w:pPr>
      <w:r>
        <w:rPr>
          <w:b w:val="0"/>
          <w:i w:val="0"/>
          <w:color w:val="374151"/>
          <w:sz w:val="22"/>
        </w:rPr>
        <w:t>A API da OpenAI utiliza o modelo pay-as-you-go: paga-se apenas pelo que for usado, por token processado. Não há mensalidade, não há contrato mínimo.</w:t>
      </w:r>
    </w:p>
    <w:p>
      <w:pPr>
        <w:spacing w:before="200" w:after="60"/>
      </w:pPr>
      <w:r>
        <w:rPr>
          <w:b/>
          <w:i w:val="0"/>
          <w:color w:val="334155"/>
          <w:sz w:val="18"/>
        </w:rPr>
        <w:t>ESTIMATIVA DE CUSTO POR CONVERSÃO</w:t>
      </w: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Quantidade estimada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Custo (USD)</w:t>
            </w:r>
          </w:p>
        </w:tc>
      </w:tr>
      <w:tr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Tokens de entrada (imagem + prompt)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~200 – 500 tokens</w:t>
            </w:r>
          </w:p>
        </w:tc>
        <w:tc>
          <w:tcPr>
            <w:tcW w:type="dxa" w:w="3024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~$0,0010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Tokens de saída (código LaTeX)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~50 – 200 tokens</w:t>
            </w:r>
          </w:p>
        </w:tc>
        <w:tc>
          <w:tcPr>
            <w:tcW w:type="dxa" w:w="3024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~$0,0010</w:t>
            </w:r>
          </w:p>
        </w:tc>
      </w:tr>
      <w:tr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Total por fórmula</w:t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3024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~$0,001 a $0,003</w:t>
            </w:r>
          </w:p>
        </w:tc>
      </w:tr>
    </w:tbl>
    <w:p>
      <w:pPr>
        <w:spacing w:before="0" w:after="20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DCFCE7"/>
            <w:tcBorders>
              <w:top w:val="single" w:sz="6" w:space="0" w:color="86EFAC"/>
              <w:left w:val="single" w:sz="6" w:space="0" w:color="86EFAC"/>
              <w:bottom w:val="single" w:sz="6" w:space="0" w:color="86EFAC"/>
              <w:right w:val="single" w:sz="6" w:space="0" w:color="86EFAC"/>
            </w:tcBorders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166534"/>
                <w:sz w:val="24"/>
              </w:rPr>
              <w:t xml:space="preserve">Custo médio por fórmula: </w:t>
            </w:r>
            <w:r>
              <w:rPr>
                <w:b/>
                <w:i w:val="0"/>
                <w:color w:val="166534"/>
                <w:sz w:val="30"/>
              </w:rPr>
              <w:t>$0,002 USD ≈ R$ 0,01</w:t>
            </w:r>
            <w:r>
              <w:rPr>
                <w:b w:val="0"/>
                <w:i w:val="0"/>
                <w:color w:val="166534"/>
                <w:sz w:val="24"/>
              </w:rPr>
              <w:t xml:space="preserve">  —  menos de 1 centavo por conversão</w:t>
            </w:r>
          </w:p>
        </w:tc>
      </w:tr>
    </w:tbl>
    <w:p>
      <w:pPr>
        <w:spacing w:before="0" w:after="200"/>
      </w:pPr>
    </w:p>
    <w:p>
      <w:pPr>
        <w:spacing w:before="200" w:after="60"/>
      </w:pPr>
      <w:r>
        <w:rPr>
          <w:b/>
          <w:i w:val="0"/>
          <w:color w:val="334155"/>
          <w:sz w:val="18"/>
        </w:rPr>
        <w:t>PROJEÇÃO DE USO MENSAL</w:t>
      </w: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68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Fórmulas / mês</w:t>
            </w:r>
          </w:p>
        </w:tc>
        <w:tc>
          <w:tcPr>
            <w:tcW w:type="dxa" w:w="2268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Custo est. (USD)</w:t>
            </w:r>
          </w:p>
        </w:tc>
        <w:tc>
          <w:tcPr>
            <w:tcW w:type="dxa" w:w="2268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20" w:type="dxa"/>
              <w:bottom w:w="120" w:type="dxa"/>
              <w:left w:w="14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0"/>
              </w:rPr>
              <w:t>Custo est. (BRL)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Uso leve (1–2 FICs)</w:t>
            </w:r>
          </w:p>
        </w:tc>
        <w:tc>
          <w:tcPr>
            <w:tcW w:type="dxa" w:w="2268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~50</w:t>
            </w:r>
          </w:p>
        </w:tc>
        <w:tc>
          <w:tcPr>
            <w:tcW w:type="dxa" w:w="2268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~$0,10</w:t>
            </w:r>
          </w:p>
        </w:tc>
        <w:tc>
          <w:tcPr>
            <w:tcW w:type="dxa" w:w="2268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~R$ 0,57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Uso moderado (5–8 FICs)</w:t>
            </w:r>
          </w:p>
        </w:tc>
        <w:tc>
          <w:tcPr>
            <w:tcW w:type="dxa" w:w="2268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~300</w:t>
            </w:r>
          </w:p>
        </w:tc>
        <w:tc>
          <w:tcPr>
            <w:tcW w:type="dxa" w:w="2268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~$0,60</w:t>
            </w:r>
          </w:p>
        </w:tc>
        <w:tc>
          <w:tcPr>
            <w:tcW w:type="dxa" w:w="2268"/>
            <w:shd w:val="clear" w:color="auto" w:fill="FFFFFF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~R$ 3,42</w:t>
            </w:r>
          </w:p>
        </w:tc>
      </w:tr>
      <w:tr>
        <w:tc>
          <w:tcPr>
            <w:tcW w:type="dxa" w:w="2268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Uso intenso (FICs + revisões)</w:t>
            </w:r>
          </w:p>
        </w:tc>
        <w:tc>
          <w:tcPr>
            <w:tcW w:type="dxa" w:w="2268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~1.000</w:t>
            </w:r>
          </w:p>
        </w:tc>
        <w:tc>
          <w:tcPr>
            <w:tcW w:type="dxa" w:w="2268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~$2,00</w:t>
            </w:r>
          </w:p>
        </w:tc>
        <w:tc>
          <w:tcPr>
            <w:tcW w:type="dxa" w:w="2268"/>
            <w:shd w:val="clear" w:color="auto" w:fill="F8FAFC"/>
            <w:tcBorders>
              <w:top w:val="none"/>
              <w:left w:val="none"/>
              <w:right w:val="none"/>
              <w:insideH w:val="none"/>
              <w:insideV w:val="none"/>
              <w:bottom w:val="single" w:sz="4" w:space="0" w:color="E2E8F0"/>
            </w:tcBorders>
            <w:tcMar>
              <w:top w:w="100" w:type="dxa"/>
              <w:bottom w:w="100" w:type="dxa"/>
              <w:left w:w="140" w:type="dxa"/>
              <w:right w:w="80" w:type="dxa"/>
            </w:tcMar>
          </w:tcPr>
          <w:p>
            <w:pPr>
              <w:spacing w:before="0" w:after="0" w:line="300" w:lineRule="exact"/>
            </w:pPr>
            <w:r>
              <w:rPr>
                <w:b w:val="0"/>
                <w:i w:val="0"/>
                <w:color w:val="334155"/>
                <w:sz w:val="20"/>
              </w:rPr>
              <w:t>~R$ 11,40</w:t>
            </w:r>
          </w:p>
        </w:tc>
      </w:tr>
    </w:tbl>
    <w:p>
      <w:pPr>
        <w:spacing w:before="0" w:after="20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536"/>
        <w:gridCol w:w="4536"/>
      </w:tblGrid>
      <w:tr>
        <w:tc>
          <w:tcPr>
            <w:tcW w:type="dxa" w:w="680"/>
            <w:shd w:val="clear" w:color="auto" w:fill="EFF6FF"/>
            <w:tcBorders>
              <w:top w:val="none"/>
              <w:right w:val="none"/>
              <w:bottom w:val="none"/>
              <w:insideH w:val="none"/>
              <w:insideV w:val="none"/>
              <w:left w:val="single" w:sz="20" w:space="0" w:color="2563EB"/>
            </w:tcBorders>
            <w:tcMar>
              <w:top w:w="140" w:type="dxa"/>
              <w:bottom w:w="14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1E40AF"/>
                <w:sz w:val="28"/>
              </w:rPr>
              <w:t>💡</w:t>
            </w:r>
          </w:p>
        </w:tc>
        <w:tc>
          <w:tcPr>
            <w:tcW w:type="dxa" w:w="4536"/>
            <w:shd w:val="clear" w:color="auto" w:fill="EFF6F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0" w:type="dxa"/>
              <w:bottom w:w="140" w:type="dxa"/>
              <w:left w:w="120" w:type="dxa"/>
              <w:right w:w="160" w:type="dxa"/>
            </w:tcMar>
          </w:tcPr>
          <w:p>
            <w:pPr>
              <w:spacing w:before="0" w:after="60" w:line="300" w:lineRule="exact"/>
            </w:pPr>
            <w:r>
              <w:rPr>
                <w:b/>
                <w:i w:val="0"/>
                <w:color w:val="1E40AF"/>
                <w:sz w:val="22"/>
              </w:rPr>
              <w:t>Recomendação:</w:t>
              <w:br/>
            </w:r>
            <w:r>
              <w:rPr>
                <w:b w:val="0"/>
                <w:i w:val="0"/>
                <w:color w:val="1E40AF"/>
                <w:sz w:val="22"/>
              </w:rPr>
              <w:t>Definir limite de gasto mensal de $5,00 USD na conta da OpenAI cobre mais de 2.000 conversões e evita cobranças inesperadas.</w:t>
            </w:r>
          </w:p>
        </w:tc>
      </w:tr>
    </w:tbl>
    <w:p>
      <w:pPr>
        <w:spacing w:before="0" w:after="160"/>
      </w:pPr>
    </w:p>
    <w:p>
      <w:pPr>
        <w:pBdr>
          <w:bottom w:val="single" w:sz="6" w:space="1" w:color="CBD5E1"/>
        </w:pBdr>
        <w:spacing w:before="180" w:after="180"/>
      </w:pPr>
    </w:p>
    <w:p>
      <w:pPr>
        <w:shd w:val="clear" w:color="auto" w:fill="EFF6FF"/>
        <w:spacing w:before="200" w:after="60"/>
        <w:ind w:left="0" w:right="0"/>
      </w:pPr>
      <w:r>
        <w:rPr>
          <w:b/>
          <w:i w:val="0"/>
          <w:color w:val="FFFFFF"/>
          <w:sz w:val="26"/>
          <w:shd w:val="clear" w:color="auto" w:fill="1E3A5F"/>
        </w:rPr>
        <w:t xml:space="preserve">  8  </w:t>
      </w:r>
      <w:r>
        <w:rPr>
          <w:b/>
          <w:i w:val="0"/>
          <w:color w:val="1E3A5F"/>
          <w:sz w:val="28"/>
        </w:rPr>
        <w:t xml:space="preserve">   Precauções e Segurança</w:t>
      </w:r>
    </w:p>
    <w:p>
      <w:pPr>
        <w:spacing w:before="200" w:after="60"/>
      </w:pPr>
      <w:r>
        <w:rPr>
          <w:b/>
          <w:i w:val="0"/>
          <w:color w:val="334155"/>
          <w:sz w:val="18"/>
        </w:rPr>
        <w:t>SOBRE A CHAVE DE API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A chave é armazenada localmente no navegador — não é enviada para nenhum servidor da equipe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A requisição vai diretamente do navegador para o endpoint da OpenAI/OpenRouter, sem intermediários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A chave pode ser revogada a qualquer momento pelo painel da OpenAI, sem impacto a outros sistemas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Recomenda-se definir um limite de gasto mensal para evitar cobranças inesperadas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A chave deve ser gerada em uma conta vinculada ao responsável técnico ou à instituição</w:t>
      </w:r>
    </w:p>
    <w:p>
      <w:pPr>
        <w:spacing w:before="0" w:after="160"/>
      </w:pPr>
    </w:p>
    <w:p>
      <w:pPr>
        <w:spacing w:before="200" w:after="60"/>
      </w:pPr>
      <w:r>
        <w:rPr>
          <w:b/>
          <w:i w:val="0"/>
          <w:color w:val="334155"/>
          <w:sz w:val="18"/>
        </w:rPr>
        <w:t>SOBRE OS DADOS ENVIADOS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A extensão envia apenas a imagem da fórmula — nenhum dado do usuário ou do Canvas é transmitido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Os dados de API não são usados para treinar modelos (diferente do ChatGPT gratuito)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Nenhum dado de identificação pessoal é transmitido nas requisições</w:t>
      </w:r>
    </w:p>
    <w:p>
      <w:pPr>
        <w:spacing w:before="0" w:after="160"/>
      </w:pPr>
    </w:p>
    <w:p>
      <w:pPr>
        <w:spacing w:before="200" w:after="60"/>
      </w:pPr>
      <w:r>
        <w:rPr>
          <w:b/>
          <w:i w:val="0"/>
          <w:color w:val="334155"/>
          <w:sz w:val="18"/>
        </w:rPr>
        <w:t>BOAS PRÁTICAS RECOMENDADAS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Não compartilhar a chave em canais públicos, e-mails ou documentos não protegidos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Monitorar o uso pelo painel da OpenAI ao menos uma vez por mês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Revogar e substituir a chave imediatamente em caso de suspeita de vazamento</w:t>
      </w:r>
    </w:p>
    <w:p>
      <w:pPr>
        <w:spacing w:before="0" w:after="60" w:line="300" w:lineRule="exact"/>
        <w:ind w:left="113" w:right="0"/>
      </w:pPr>
      <w:r>
        <w:rPr>
          <w:b/>
          <w:i w:val="0"/>
          <w:color w:val="16A34A"/>
          <w:sz w:val="22"/>
        </w:rPr>
        <w:t xml:space="preserve">✓  </w:t>
      </w:r>
      <w:r>
        <w:rPr>
          <w:b w:val="0"/>
          <w:i w:val="0"/>
          <w:color w:val="374151"/>
          <w:sz w:val="22"/>
        </w:rPr>
        <w:t>Manter a extensão sempre atualizada</w:t>
      </w:r>
    </w:p>
    <w:p>
      <w:pPr>
        <w:spacing w:before="0" w:after="160"/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4536"/>
        <w:gridCol w:w="4536"/>
      </w:tblGrid>
      <w:tr>
        <w:tc>
          <w:tcPr>
            <w:tcW w:type="dxa" w:w="680"/>
            <w:shd w:val="clear" w:color="auto" w:fill="FEFCE8"/>
            <w:tcBorders>
              <w:top w:val="none"/>
              <w:right w:val="none"/>
              <w:bottom w:val="none"/>
              <w:insideH w:val="none"/>
              <w:insideV w:val="none"/>
              <w:left w:val="single" w:sz="20" w:space="0" w:color="CA8A04"/>
            </w:tcBorders>
            <w:tcMar>
              <w:top w:w="140" w:type="dxa"/>
              <w:bottom w:w="140" w:type="dxa"/>
              <w:left w:w="10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854D0E"/>
                <w:sz w:val="28"/>
              </w:rPr>
              <w:t>⚠️</w:t>
            </w:r>
          </w:p>
        </w:tc>
        <w:tc>
          <w:tcPr>
            <w:tcW w:type="dxa" w:w="4536"/>
            <w:shd w:val="clear" w:color="auto" w:fill="FEFCE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0" w:type="dxa"/>
              <w:bottom w:w="140" w:type="dxa"/>
              <w:left w:w="120" w:type="dxa"/>
              <w:right w:w="160" w:type="dxa"/>
            </w:tcMar>
          </w:tcPr>
          <w:p>
            <w:pPr>
              <w:spacing w:before="0" w:after="60" w:line="300" w:lineRule="exact"/>
            </w:pPr>
            <w:r>
              <w:rPr>
                <w:b/>
                <w:i w:val="0"/>
                <w:color w:val="854D0E"/>
                <w:sz w:val="22"/>
              </w:rPr>
              <w:t>Atenção:</w:t>
              <w:br/>
            </w:r>
            <w:r>
              <w:rPr>
                <w:b w:val="0"/>
                <w:i w:val="0"/>
                <w:color w:val="854D0E"/>
                <w:sz w:val="22"/>
              </w:rPr>
              <w:t>A chave de API possui valor financeiro — quem a tiver pode realizar requisições cobradas na conta. Trate-a como uma senha.</w:t>
            </w:r>
          </w:p>
        </w:tc>
      </w:tr>
    </w:tbl>
    <w:p>
      <w:pPr>
        <w:spacing w:before="0" w:after="160"/>
      </w:pPr>
    </w:p>
    <w:p>
      <w:pPr>
        <w:pBdr>
          <w:bottom w:val="single" w:sz="6" w:space="1" w:color="CBD5E1"/>
        </w:pBdr>
        <w:spacing w:before="180" w:after="180"/>
      </w:pPr>
    </w:p>
    <w:p>
      <w:pPr>
        <w:shd w:val="clear" w:color="auto" w:fill="EFF6FF"/>
        <w:spacing w:before="200" w:after="60"/>
        <w:ind w:left="0" w:right="0"/>
      </w:pPr>
      <w:r>
        <w:rPr>
          <w:b/>
          <w:i w:val="0"/>
          <w:color w:val="FFFFFF"/>
          <w:sz w:val="26"/>
          <w:shd w:val="clear" w:color="auto" w:fill="1E3A5F"/>
        </w:rPr>
        <w:t xml:space="preserve">  9  </w:t>
      </w:r>
      <w:r>
        <w:rPr>
          <w:b/>
          <w:i w:val="0"/>
          <w:color w:val="1E3A5F"/>
          <w:sz w:val="28"/>
        </w:rPr>
        <w:t xml:space="preserve">   Conclusão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072"/>
      </w:tblGrid>
      <w:tr>
        <w:tc>
          <w:tcPr>
            <w:tcW w:type="dxa" w:w="9072"/>
            <w:shd w:val="clear" w:color="auto" w:fill="1E3A5F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20" w:type="dxa"/>
              <w:bottom w:w="220" w:type="dxa"/>
              <w:left w:w="280" w:type="dxa"/>
              <w:right w:w="280" w:type="dxa"/>
            </w:tcMar>
          </w:tcPr>
          <w:p>
            <w:pPr>
              <w:spacing w:before="0" w:after="100" w:line="320" w:lineRule="exact"/>
            </w:pPr>
            <w:r>
              <w:rPr>
                <w:b/>
                <w:i w:val="0"/>
                <w:color w:val="FFFFFF"/>
                <w:sz w:val="26"/>
              </w:rPr>
              <w:t>Resumo Executivo</w:t>
              <w:br/>
            </w:r>
            <w:r>
              <w:rPr>
                <w:b w:val="0"/>
                <w:i w:val="0"/>
                <w:color w:val="CBD5E1"/>
                <w:sz w:val="22"/>
              </w:rPr>
              <w:t>A adoção da chave de API para conversão automática de fórmulas LaTeX resolve um gargalo real e recorrente no fluxo de produção de materiais no Canvas LMS.</w:t>
            </w:r>
          </w:p>
          <w:p>
            <w:pPr>
              <w:spacing w:before="0" w:after="100" w:line="320" w:lineRule="exact"/>
            </w:pPr>
            <w:r>
              <w:rPr>
                <w:b w:val="0"/>
                <w:i w:val="0"/>
                <w:color w:val="CBD5E1"/>
                <w:sz w:val="22"/>
              </w:rPr>
              <w:t>A solução proposta reduz o tempo de inserção de cada fórmula de vários minutos para menos de 10 segundos, garante acessibilidade digital e elimina a dependência de ferramentas externas com limite de uso.</w:t>
            </w:r>
          </w:p>
          <w:p>
            <w:pPr>
              <w:spacing w:before="0" w:after="0" w:line="320" w:lineRule="exact"/>
            </w:pPr>
            <w:r>
              <w:rPr>
                <w:b w:val="0"/>
                <w:i w:val="0"/>
                <w:color w:val="CBD5E1"/>
                <w:sz w:val="22"/>
              </w:rPr>
              <w:t xml:space="preserve">O custo operacional é inferior a R$ 0,02 por fórmula. A relação custo-benefício é </w:t>
            </w:r>
            <w:r>
              <w:rPr>
                <w:b/>
                <w:i w:val="0"/>
                <w:color w:val="93C5FD"/>
                <w:sz w:val="22"/>
              </w:rPr>
              <w:t>amplamente favorável à implementação imediata.</w:t>
            </w:r>
          </w:p>
        </w:tc>
      </w:tr>
    </w:tbl>
    <w:p>
      <w:pPr>
        <w:spacing w:before="0" w:after="320"/>
      </w:pPr>
    </w:p>
    <w:p>
      <w:pPr>
        <w:jc w:val="center"/>
        <w:spacing w:before="0" w:after="0"/>
      </w:pPr>
      <w:r>
        <w:rPr>
          <w:b w:val="0"/>
          <w:i w:val="0"/>
          <w:color w:val="94A3B8"/>
          <w:sz w:val="18"/>
        </w:rPr>
        <w:t>Documento interno — Equipe de Gestão do Ambiente Virtual  ·  Maio de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