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Arial" w:hAnsi="Arial"/>
          <w:b/>
          <w:color w:val="1B365D"/>
          <w:sz w:val="48"/>
        </w:rPr>
        <w:t>AI-Enhanced Enterprise Quality Engineering &amp; Governance</w:t>
      </w:r>
    </w:p>
    <w:p>
      <w:pPr>
        <w:spacing w:after="480"/>
        <w:jc w:val="center"/>
      </w:pPr>
      <w:r>
        <w:rPr>
          <w:rFonts w:ascii="Arial" w:hAnsi="Arial"/>
          <w:i/>
          <w:color w:val="5C768D"/>
          <w:sz w:val="28"/>
        </w:rPr>
        <w:t>Comprehensive Master Study Guide for Senior QA Engineering Managers</w:t>
        <w:br/>
        <w:t>(Aligned with Verizon, Trimble, Palo Alto Networks, and CIBC Leadership Standards)</w:t>
      </w:r>
    </w:p>
    <w:tbl>
      <w:tblPr>
        <w:tblW w:type="auto" w:w="0"/>
        <w:jc w:val="center"/>
        <w:tblLook w:firstColumn="1" w:firstRow="1" w:lastColumn="0" w:lastRow="0" w:noHBand="0" w:noVBand="1" w:val="04A0"/>
      </w:tblPr>
      <w:tblGrid>
        <w:gridCol w:w="9360"/>
      </w:tblGrid>
      <w:tr>
        <w:tc>
          <w:tcPr>
            <w:tcW w:type="dxa" w:w="9360"/>
            <w:shd w:fill="F4F6F9"/>
            <w:tcBorders>
              <w:left w:val="single" w:sz="36" w:space="0" w:color="1B365D"/>
              <w:top w:val="none"/>
              <w:right w:val="none"/>
              <w:bottom w:val="none"/>
            </w:tcBorders>
          </w:tcPr>
          <w:p>
            <w:pPr>
              <w:spacing w:before="120" w:after="40"/>
            </w:pPr>
            <w:r>
              <w:rPr>
                <w:rFonts w:ascii="Arial" w:hAnsi="Arial"/>
                <w:b/>
                <w:color w:val="1B365D"/>
                <w:sz w:val="20"/>
              </w:rPr>
              <w:t>📌 EXECUTIVE SUMMARY</w:t>
              <w:br/>
            </w:r>
            <w:r>
              <w:rPr>
                <w:rFonts w:ascii="Calibri" w:hAnsi="Calibri"/>
                <w:i/>
                <w:color w:val="333333"/>
                <w:sz w:val="21"/>
              </w:rPr>
              <w:t>This master study guide bridges hands-on multi-language test automation (Java, Python, TypeScript), scalable web/API frameworks (Selenium, Playwright, REST Assured), DevOps quality gates, and advanced AI governance frameworks (LLM-as-a-Judge, Trust Architecture, Shift-Right). Designed for senior engineering leaders.</w:t>
            </w:r>
          </w:p>
        </w:tc>
      </w:tr>
    </w:tbl>
    <w:p>
      <w:pPr>
        <w:spacing w:after="120"/>
      </w:pPr>
    </w:p>
    <w:p>
      <w:pPr>
        <w:spacing w:before="360" w:after="120"/>
      </w:pPr>
      <w:r>
        <w:rPr>
          <w:rFonts w:ascii="Arial" w:hAnsi="Arial"/>
          <w:b/>
          <w:color w:val="1B365D"/>
          <w:sz w:val="36"/>
        </w:rPr>
        <w:t>1. Executive Overview &amp; Industry Context</w:t>
      </w:r>
    </w:p>
    <w:p>
      <w:pPr>
        <w:spacing w:after="120" w:line="276" w:lineRule="auto"/>
      </w:pPr>
      <w:r>
        <w:rPr>
          <w:rFonts w:ascii="Calibri" w:hAnsi="Calibri"/>
          <w:color w:val="333333"/>
          <w:sz w:val="22"/>
        </w:rPr>
        <w:t>Modern enterprise quality engineering has evolved far beyond traditional functional scripting. As organizations scale microservices, mobile apps, and cloud infrastructure, leaders face the 'AI Paradox in QA'—where high AI adoption and massive test case generation coexist with rising software defect rates due to a lack of governance and contextual test validation.</w:t>
      </w:r>
    </w:p>
    <w:p>
      <w:pPr>
        <w:spacing w:after="120" w:line="276" w:lineRule="auto"/>
      </w:pPr>
      <w:r>
        <w:rPr>
          <w:rFonts w:ascii="Calibri" w:hAnsi="Calibri"/>
          <w:color w:val="333333"/>
          <w:sz w:val="22"/>
        </w:rPr>
        <w:t>To succeed in senior roles at telecom, IoT, and cloud giants (such as Verizon and Palo Alto Networks), engineering managers must architect resilient automation pipelines, enforce rigorous CI/CD quality gates, and implement defensible AI Trust Architectures.</w:t>
      </w:r>
    </w:p>
    <w:p>
      <w:pPr>
        <w:spacing w:before="240" w:after="80"/>
      </w:pPr>
      <w:r>
        <w:rPr>
          <w:rFonts w:ascii="Arial" w:hAnsi="Arial"/>
          <w:b/>
          <w:color w:val="41748D"/>
          <w:sz w:val="28"/>
        </w:rPr>
        <w:t>Core Competency Matrix</w:t>
      </w:r>
    </w:p>
    <w:p>
      <w:pPr>
        <w:pStyle w:val="ListBullet"/>
        <w:spacing w:after="60" w:line="276" w:lineRule="auto"/>
      </w:pPr>
      <w:r>
        <w:rPr>
          <w:rFonts w:ascii="Calibri" w:hAnsi="Calibri"/>
          <w:b/>
          <w:color w:val="2C3E50"/>
          <w:sz w:val="22"/>
        </w:rPr>
        <w:t xml:space="preserve">Strategy &amp; Vision: </w:t>
      </w:r>
      <w:r>
        <w:rPr>
          <w:rFonts w:ascii="Calibri" w:hAnsi="Calibri"/>
          <w:color w:val="333333"/>
          <w:sz w:val="22"/>
        </w:rPr>
        <w:t>Lead enterprise automation strategy across Web, API, and Mobile ecosystems.</w:t>
      </w:r>
    </w:p>
    <w:p>
      <w:pPr>
        <w:pStyle w:val="ListBullet"/>
        <w:spacing w:after="60" w:line="276" w:lineRule="auto"/>
      </w:pPr>
      <w:r>
        <w:rPr>
          <w:rFonts w:ascii="Calibri" w:hAnsi="Calibri"/>
          <w:b/>
          <w:color w:val="2C3E50"/>
          <w:sz w:val="22"/>
        </w:rPr>
        <w:t xml:space="preserve">Framework Engineering: </w:t>
      </w:r>
      <w:r>
        <w:rPr>
          <w:rFonts w:ascii="Calibri" w:hAnsi="Calibri"/>
          <w:color w:val="333333"/>
          <w:sz w:val="22"/>
        </w:rPr>
        <w:t>Deploy Playwright (TypeScript/Python) and Selenium with Page Object Model (POM) patterns.</w:t>
      </w:r>
    </w:p>
    <w:p>
      <w:pPr>
        <w:pStyle w:val="ListBullet"/>
        <w:spacing w:after="60" w:line="276" w:lineRule="auto"/>
      </w:pPr>
      <w:r>
        <w:rPr>
          <w:rFonts w:ascii="Calibri" w:hAnsi="Calibri"/>
          <w:b/>
          <w:color w:val="2C3E50"/>
          <w:sz w:val="22"/>
        </w:rPr>
        <w:t xml:space="preserve">AI Integration: </w:t>
      </w:r>
      <w:r>
        <w:rPr>
          <w:rFonts w:ascii="Calibri" w:hAnsi="Calibri"/>
          <w:color w:val="333333"/>
          <w:sz w:val="22"/>
        </w:rPr>
        <w:t>Integrate AI/ML tooling for test case scaffolding, data synthesis, and defect prediction.</w:t>
      </w:r>
    </w:p>
    <w:p>
      <w:pPr>
        <w:pStyle w:val="ListBullet"/>
        <w:spacing w:after="60" w:line="276" w:lineRule="auto"/>
      </w:pPr>
      <w:r>
        <w:rPr>
          <w:rFonts w:ascii="Calibri" w:hAnsi="Calibri"/>
          <w:b/>
          <w:color w:val="2C3E50"/>
          <w:sz w:val="22"/>
        </w:rPr>
        <w:t xml:space="preserve">Agentic Tooling: </w:t>
      </w:r>
      <w:r>
        <w:rPr>
          <w:rFonts w:ascii="Calibri" w:hAnsi="Calibri"/>
          <w:color w:val="333333"/>
          <w:sz w:val="22"/>
        </w:rPr>
        <w:t>Build MCP servers and LLM agent integrations connecting internal systems (Jira, GitHub, TestRail).</w:t>
      </w:r>
    </w:p>
    <w:p>
      <w:pPr>
        <w:pStyle w:val="ListBullet"/>
        <w:spacing w:after="60" w:line="276" w:lineRule="auto"/>
      </w:pPr>
      <w:r>
        <w:rPr>
          <w:rFonts w:ascii="Calibri" w:hAnsi="Calibri"/>
          <w:b/>
          <w:color w:val="2C3E50"/>
          <w:sz w:val="22"/>
        </w:rPr>
        <w:t xml:space="preserve">Governance &amp; DevOps: </w:t>
      </w:r>
      <w:r>
        <w:rPr>
          <w:rFonts w:ascii="Calibri" w:hAnsi="Calibri"/>
          <w:color w:val="333333"/>
          <w:sz w:val="22"/>
        </w:rPr>
        <w:t>Enforce pipeline quality gates, performance SLOs (Locust/JMeter), and board-level governance.</w:t>
      </w:r>
    </w:p>
    <w:p>
      <w:pPr>
        <w:spacing w:before="360" w:after="120"/>
      </w:pPr>
      <w:r>
        <w:rPr>
          <w:rFonts w:ascii="Arial" w:hAnsi="Arial"/>
          <w:b/>
          <w:color w:val="1B365D"/>
          <w:sz w:val="36"/>
        </w:rPr>
        <w:t>2. Phase 1: AI Foundations, Developer AI Tools &amp; Agentic Integrations</w:t>
      </w:r>
    </w:p>
    <w:p>
      <w:pPr>
        <w:spacing w:after="120" w:line="276" w:lineRule="auto"/>
      </w:pPr>
      <w:r>
        <w:rPr>
          <w:rFonts w:ascii="Calibri" w:hAnsi="Calibri"/>
          <w:color w:val="333333"/>
          <w:sz w:val="22"/>
        </w:rPr>
        <w:t>Phase 1 establishes the theoretical and practical foundation of AI in QE. Rather than viewing AI as a black box, senior managers learn to orchestrate AI agents for test generation, data synthesis, and system integration.</w:t>
      </w:r>
    </w:p>
    <w:p>
      <w:pPr>
        <w:spacing w:before="240" w:after="80"/>
      </w:pPr>
      <w:r>
        <w:rPr>
          <w:rFonts w:ascii="Arial" w:hAnsi="Arial"/>
          <w:b/>
          <w:color w:val="41748D"/>
          <w:sz w:val="28"/>
        </w:rPr>
        <w:t>The AI Paradox &amp; Mitigation Strategies</w:t>
      </w:r>
    </w:p>
    <w:p>
      <w:pPr>
        <w:spacing w:after="120" w:line="276" w:lineRule="auto"/>
      </w:pPr>
      <w:r>
        <w:rPr>
          <w:rFonts w:ascii="Calibri" w:hAnsi="Calibri"/>
          <w:color w:val="333333"/>
          <w:sz w:val="22"/>
        </w:rPr>
        <w:t>AI-generated tests often suffer from hallucinations, brittle assertions, and lack of business context. Mitigation requires deterministic quality gates, semantic coverage analysis, and Human-in-the-Loop (HIL) validation.</w:t>
      </w:r>
    </w:p>
    <w:p>
      <w:pPr>
        <w:spacing w:before="240" w:after="80"/>
      </w:pPr>
      <w:r>
        <w:rPr>
          <w:rFonts w:ascii="Arial" w:hAnsi="Arial"/>
          <w:b/>
          <w:color w:val="41748D"/>
          <w:sz w:val="28"/>
        </w:rPr>
        <w:t>Hands-on Example: LLM Test Data Generator &amp; Agentic Integration</w:t>
      </w:r>
    </w:p>
    <w:p>
      <w:pPr>
        <w:spacing w:after="120" w:line="276" w:lineRule="auto"/>
      </w:pPr>
      <w:r>
        <w:rPr>
          <w:rFonts w:ascii="Calibri" w:hAnsi="Calibri"/>
          <w:color w:val="333333"/>
          <w:sz w:val="22"/>
        </w:rPr>
        <w:t>Below is a production-grade Python script demonstrating how an LLM agent generates test data based on natural language requirements and interacts with a mock internal database system.</w:t>
      </w:r>
    </w:p>
    <w:tbl>
      <w:tblPr>
        <w:tblW w:type="auto" w:w="0"/>
        <w:jc w:val="center"/>
        <w:tblLook w:firstColumn="1" w:firstRow="1" w:lastColumn="0" w:lastRow="0" w:noHBand="0" w:noVBand="1" w:val="04A0"/>
      </w:tblPr>
      <w:tblGrid>
        <w:gridCol w:w="9360"/>
      </w:tblGrid>
      <w:tr>
        <w:tc>
          <w:tcPr>
            <w:tcW w:type="dxa" w:w="9360"/>
            <w:shd w:fill="2D3748"/>
          </w:tcPr>
          <w:p>
            <w:pPr>
              <w:spacing w:before="120" w:after="40"/>
            </w:pPr>
            <w:r>
              <w:rPr>
                <w:rFonts w:ascii="Courier New" w:hAnsi="Courier New"/>
                <w:b/>
                <w:color w:val="A0AEC0"/>
                <w:sz w:val="18"/>
              </w:rPr>
              <w:t>💻 Python LLM Agent Test Data Generator</w:t>
              <w:br/>
            </w:r>
          </w:p>
          <w:p>
            <w:pPr>
              <w:spacing w:before="40" w:after="120"/>
            </w:pPr>
            <w:r>
              <w:rPr>
                <w:rFonts w:ascii="Consolas" w:hAnsi="Consolas"/>
                <w:color w:val="E2E8F0"/>
                <w:sz w:val="19"/>
              </w:rPr>
              <w:t>import json</w:t>
              <w:br/>
              <w:br/>
              <w:t>def generate_test_user_data(requirements: str) -&gt; dict:</w:t>
              <w:br/>
              <w:t xml:space="preserve">    # Simulates LLM generating test data based on natural language</w:t>
              <w:br/>
              <w:t xml:space="preserve">    print(f"LLM Processing Requirements: '{requirements}'")</w:t>
              <w:br/>
              <w:t xml:space="preserve">    </w:t>
              <w:br/>
              <w:t xml:space="preserve">    mock_data = {</w:t>
              <w:br/>
              <w:t xml:space="preserve">        "valid_user": {"firstName": "John", "email": "john.doe@example.com", "age": 30},</w:t>
              <w:br/>
              <w:t xml:space="preserve">        "invalid_email_user": {"firstName": "Jane", "email": "invalid-email", "age": 25},</w:t>
              <w:br/>
              <w:t xml:space="preserve">        "minor_user": {"firstName": "Alice", "email": "alice@example.com", "age": 16}</w:t>
              <w:br/>
              <w:t xml:space="preserve">    }</w:t>
              <w:br/>
              <w:t xml:space="preserve">    </w:t>
              <w:br/>
              <w:t xml:space="preserve">    if "invalid email" in requirements.lower():</w:t>
              <w:br/>
              <w:t xml:space="preserve">        return mock_data["invalid_email_user"]</w:t>
              <w:br/>
              <w:t xml:space="preserve">    elif "minor" in requirements.lower():</w:t>
              <w:br/>
              <w:t xml:space="preserve">        return mock_data["minor_user"]</w:t>
              <w:br/>
              <w:t xml:space="preserve">    else:</w:t>
              <w:br/>
              <w:t xml:space="preserve">        return mock_data["valid_user"]</w:t>
              <w:br/>
              <w:br/>
              <w:t>def mock_save_user_to_db(user_data: dict) -&gt; bool:</w:t>
              <w:br/>
              <w:t xml:space="preserve">    # Simulates internal system integration (MCP / DB API)</w:t>
              <w:br/>
              <w:t xml:space="preserve">    if "@" in user_data.get("email", ""):</w:t>
              <w:br/>
              <w:t xml:space="preserve">        print("Internal System: User saved successfully.")</w:t>
              <w:br/>
              <w:t xml:space="preserve">        return True</w:t>
              <w:br/>
              <w:t xml:space="preserve">    print("Internal System: Validation failed.")</w:t>
              <w:br/>
              <w:t xml:space="preserve">        return False</w:t>
              <w:br/>
            </w:r>
          </w:p>
        </w:tc>
      </w:tr>
    </w:tbl>
    <w:p>
      <w:pPr>
        <w:spacing w:after="120"/>
      </w:pPr>
    </w:p>
    <w:p>
      <w:pPr>
        <w:spacing w:before="360" w:after="120"/>
      </w:pPr>
      <w:r>
        <w:rPr>
          <w:rFonts w:ascii="Arial" w:hAnsi="Arial"/>
          <w:b/>
          <w:color w:val="1B365D"/>
          <w:sz w:val="36"/>
        </w:rPr>
        <w:t>3. Phase 2: Scalable Web, API &amp; Mobile Test Engineering</w:t>
      </w:r>
    </w:p>
    <w:p>
      <w:pPr>
        <w:spacing w:after="120" w:line="276" w:lineRule="auto"/>
      </w:pPr>
      <w:r>
        <w:rPr>
          <w:rFonts w:ascii="Calibri" w:hAnsi="Calibri"/>
          <w:color w:val="333333"/>
          <w:sz w:val="22"/>
        </w:rPr>
        <w:t>Phase 2 covers robust framework engineering across Java and TypeScript, interacting with real external test applications (Heroku The-Internet and JSONPlaceholder APIs).</w:t>
      </w:r>
    </w:p>
    <w:p>
      <w:pPr>
        <w:spacing w:before="240" w:after="80"/>
      </w:pPr>
      <w:r>
        <w:rPr>
          <w:rFonts w:ascii="Arial" w:hAnsi="Arial"/>
          <w:b/>
          <w:color w:val="41748D"/>
          <w:sz w:val="28"/>
        </w:rPr>
        <w:t>Selenium vs. Playwright Comparison</w:t>
      </w:r>
    </w:p>
    <w:p>
      <w:pPr>
        <w:pStyle w:val="ListBullet"/>
        <w:spacing w:after="60" w:line="276" w:lineRule="auto"/>
      </w:pPr>
      <w:r>
        <w:rPr>
          <w:rFonts w:ascii="Calibri" w:hAnsi="Calibri"/>
          <w:b/>
          <w:color w:val="2C3E50"/>
          <w:sz w:val="22"/>
        </w:rPr>
        <w:t xml:space="preserve">Selenium WebDriver: </w:t>
      </w:r>
      <w:r>
        <w:rPr>
          <w:rFonts w:ascii="Calibri" w:hAnsi="Calibri"/>
          <w:color w:val="333333"/>
          <w:sz w:val="22"/>
        </w:rPr>
        <w:t>JSON Wire Protocol / W3C WebDriver. Requires explicit waits and WebDriverManager.</w:t>
      </w:r>
    </w:p>
    <w:p>
      <w:pPr>
        <w:pStyle w:val="ListBullet"/>
        <w:spacing w:after="60" w:line="276" w:lineRule="auto"/>
      </w:pPr>
      <w:r>
        <w:rPr>
          <w:rFonts w:ascii="Calibri" w:hAnsi="Calibri"/>
          <w:b/>
          <w:color w:val="2C3E50"/>
          <w:sz w:val="22"/>
        </w:rPr>
        <w:t xml:space="preserve">Playwright (TypeScript / Python / Java): </w:t>
      </w:r>
      <w:r>
        <w:rPr>
          <w:rFonts w:ascii="Calibri" w:hAnsi="Calibri"/>
          <w:color w:val="333333"/>
          <w:sz w:val="22"/>
        </w:rPr>
        <w:t>Modern WebSocket protocol, automatic waiting, multi-context browser isolation, and native mobile emulation.</w:t>
      </w:r>
    </w:p>
    <w:p>
      <w:pPr>
        <w:spacing w:before="240" w:after="80"/>
      </w:pPr>
      <w:r>
        <w:rPr>
          <w:rFonts w:ascii="Arial" w:hAnsi="Arial"/>
          <w:b/>
          <w:color w:val="41748D"/>
          <w:sz w:val="28"/>
        </w:rPr>
        <w:t>TypeScript Playwright Page Object Model (POM)</w:t>
      </w:r>
    </w:p>
    <w:p>
      <w:pPr>
        <w:spacing w:after="120" w:line="276" w:lineRule="auto"/>
      </w:pPr>
      <w:r>
        <w:rPr>
          <w:rFonts w:ascii="Calibri" w:hAnsi="Calibri"/>
          <w:color w:val="333333"/>
          <w:sz w:val="22"/>
        </w:rPr>
        <w:t>Enterprise test suites mandate clean separation of concerns using POM. Here is the TypeScript implementation used in our training framework:</w:t>
      </w:r>
    </w:p>
    <w:tbl>
      <w:tblPr>
        <w:tblW w:type="auto" w:w="0"/>
        <w:jc w:val="center"/>
        <w:tblLook w:firstColumn="1" w:firstRow="1" w:lastColumn="0" w:lastRow="0" w:noHBand="0" w:noVBand="1" w:val="04A0"/>
      </w:tblPr>
      <w:tblGrid>
        <w:gridCol w:w="9360"/>
      </w:tblGrid>
      <w:tr>
        <w:tc>
          <w:tcPr>
            <w:tcW w:type="dxa" w:w="9360"/>
            <w:shd w:fill="2D3748"/>
          </w:tcPr>
          <w:p>
            <w:pPr>
              <w:spacing w:before="120" w:after="40"/>
            </w:pPr>
            <w:r>
              <w:rPr>
                <w:rFonts w:ascii="Courier New" w:hAnsi="Courier New"/>
                <w:b/>
                <w:color w:val="A0AEC0"/>
                <w:sz w:val="18"/>
              </w:rPr>
              <w:t>💻 TypeScript Playwright Page Object Model (LoginPage.ts)</w:t>
              <w:br/>
            </w:r>
          </w:p>
          <w:p>
            <w:pPr>
              <w:spacing w:before="40" w:after="120"/>
            </w:pPr>
            <w:r>
              <w:rPr>
                <w:rFonts w:ascii="Consolas" w:hAnsi="Consolas"/>
                <w:color w:val="E2E8F0"/>
                <w:sz w:val="19"/>
              </w:rPr>
              <w:t>import { Page, Locator } from '@playwright/test';</w:t>
              <w:br/>
              <w:br/>
              <w:t>export class LoginPage {</w:t>
              <w:br/>
              <w:t xml:space="preserve">  readonly page: Page;</w:t>
              <w:br/>
              <w:t xml:space="preserve">  readonly usernameInput: Locator;</w:t>
              <w:br/>
              <w:t xml:space="preserve">  readonly passwordInput: Locator;</w:t>
              <w:br/>
              <w:t xml:space="preserve">  readonly loginButton: Locator;</w:t>
              <w:br/>
              <w:t xml:space="preserve">  readonly flashMessage: Locator;</w:t>
              <w:br/>
              <w:br/>
              <w:t xml:space="preserve">  constructor(page: Page) {</w:t>
              <w:br/>
              <w:t xml:space="preserve">    this.page = page;</w:t>
              <w:br/>
              <w:t xml:space="preserve">    this.usernameInput = page.locator('#username');</w:t>
              <w:br/>
              <w:t xml:space="preserve">    this.passwordInput = page.locator('#password');</w:t>
              <w:br/>
              <w:t xml:space="preserve">    this.loginButton = page.locator('button.radius');</w:t>
              <w:br/>
              <w:t xml:space="preserve">    this.flashMessage = page.locator('#flash');</w:t>
              <w:br/>
              <w:t xml:space="preserve">  }</w:t>
              <w:br/>
              <w:br/>
              <w:t xml:space="preserve">  async goto() {</w:t>
              <w:br/>
              <w:t xml:space="preserve">    await this.page.goto('/login');</w:t>
              <w:br/>
              <w:t xml:space="preserve">  }</w:t>
              <w:br/>
              <w:br/>
              <w:t xml:space="preserve">  async login(username: string, password: string) {</w:t>
              <w:br/>
              <w:t xml:space="preserve">    await this.usernameInput.fill(username);</w:t>
              <w:br/>
              <w:t xml:space="preserve">    await this.passwordInput.fill(password);</w:t>
              <w:br/>
              <w:t xml:space="preserve">    await this.loginButton.click();</w:t>
              <w:br/>
              <w:t xml:space="preserve">  }</w:t>
              <w:br/>
              <w:t>}</w:t>
            </w:r>
          </w:p>
        </w:tc>
      </w:tr>
    </w:tbl>
    <w:p>
      <w:pPr>
        <w:spacing w:after="120"/>
      </w:pPr>
    </w:p>
    <w:p>
      <w:pPr>
        <w:spacing w:before="240" w:after="80"/>
      </w:pPr>
      <w:r>
        <w:rPr>
          <w:rFonts w:ascii="Arial" w:hAnsi="Arial"/>
          <w:b/>
          <w:color w:val="41748D"/>
          <w:sz w:val="28"/>
        </w:rPr>
        <w:t>API Testing with REST Assured (Java)</w:t>
      </w:r>
    </w:p>
    <w:p>
      <w:pPr>
        <w:spacing w:after="120" w:line="276" w:lineRule="auto"/>
      </w:pPr>
      <w:r>
        <w:rPr>
          <w:rFonts w:ascii="Calibri" w:hAnsi="Calibri"/>
          <w:color w:val="333333"/>
          <w:sz w:val="22"/>
        </w:rPr>
        <w:t>Enterprise backend validation requires contract validation, schema checks, and robust status assertions:</w:t>
      </w:r>
    </w:p>
    <w:tbl>
      <w:tblPr>
        <w:tblW w:type="auto" w:w="0"/>
        <w:jc w:val="center"/>
        <w:tblLook w:firstColumn="1" w:firstRow="1" w:lastColumn="0" w:lastRow="0" w:noHBand="0" w:noVBand="1" w:val="04A0"/>
      </w:tblPr>
      <w:tblGrid>
        <w:gridCol w:w="9360"/>
      </w:tblGrid>
      <w:tr>
        <w:tc>
          <w:tcPr>
            <w:tcW w:type="dxa" w:w="9360"/>
            <w:shd w:fill="2D3748"/>
          </w:tcPr>
          <w:p>
            <w:pPr>
              <w:spacing w:before="120" w:after="40"/>
            </w:pPr>
            <w:r>
              <w:rPr>
                <w:rFonts w:ascii="Courier New" w:hAnsi="Courier New"/>
                <w:b/>
                <w:color w:val="A0AEC0"/>
                <w:sz w:val="18"/>
              </w:rPr>
              <w:t>💻 REST Assured API Test (ApiTest.java)</w:t>
              <w:br/>
            </w:r>
          </w:p>
          <w:p>
            <w:pPr>
              <w:spacing w:before="40" w:after="120"/>
            </w:pPr>
            <w:r>
              <w:rPr>
                <w:rFonts w:ascii="Consolas" w:hAnsi="Consolas"/>
                <w:color w:val="E2E8F0"/>
                <w:sz w:val="19"/>
              </w:rPr>
              <w:t>package enterprise.qe.api;</w:t>
              <w:br/>
              <w:br/>
              <w:t>import org.junit.jupiter.api.Test;</w:t>
              <w:br/>
              <w:t>import static io.restassured.RestAssured.*;</w:t>
              <w:br/>
              <w:t>import static org.hamcrest.Matchers.*;</w:t>
              <w:br/>
              <w:br/>
              <w:t>public class ApiTest {</w:t>
              <w:br/>
              <w:t xml:space="preserve">    @Test</w:t>
              <w:br/>
              <w:t xml:space="preserve">    void testGetPostValidatesSuccessfully() {</w:t>
              <w:br/>
              <w:t xml:space="preserve">        given()</w:t>
              <w:br/>
              <w:t xml:space="preserve">            .baseUri("https://jsonplaceholder.typicode.com")</w:t>
              <w:br/>
              <w:t xml:space="preserve">        .when()</w:t>
              <w:br/>
              <w:t xml:space="preserve">            .get("/posts/1")</w:t>
              <w:br/>
              <w:t xml:space="preserve">        .then()</w:t>
              <w:br/>
              <w:t xml:space="preserve">            .statusCode(200)</w:t>
              <w:br/>
              <w:t xml:space="preserve">            .body("id", equalTo(1))</w:t>
              <w:br/>
              <w:t xml:space="preserve">            .body("title", notNullValue());</w:t>
              <w:br/>
              <w:t xml:space="preserve">    }</w:t>
              <w:br/>
              <w:t>}</w:t>
            </w:r>
          </w:p>
        </w:tc>
      </w:tr>
    </w:tbl>
    <w:p>
      <w:pPr>
        <w:spacing w:after="120"/>
      </w:pPr>
    </w:p>
    <w:p>
      <w:pPr>
        <w:spacing w:before="360" w:after="120"/>
      </w:pPr>
      <w:r>
        <w:rPr>
          <w:rFonts w:ascii="Arial" w:hAnsi="Arial"/>
          <w:b/>
          <w:color w:val="1B365D"/>
          <w:sz w:val="36"/>
        </w:rPr>
        <w:t>4. Phase 3: DevOps, CI/CD, Performance &amp; Governance Integration</w:t>
      </w:r>
    </w:p>
    <w:p>
      <w:pPr>
        <w:spacing w:after="120" w:line="276" w:lineRule="auto"/>
      </w:pPr>
      <w:r>
        <w:rPr>
          <w:rFonts w:ascii="Calibri" w:hAnsi="Calibri"/>
          <w:color w:val="333333"/>
          <w:sz w:val="22"/>
        </w:rPr>
        <w:t>Engineering managers must enforce quality gates in pipelines (GitHub Actions, Azure DevOps, AWS CodePipeline) and establish performance SLAs.</w:t>
      </w:r>
    </w:p>
    <w:p>
      <w:pPr>
        <w:spacing w:before="240" w:after="80"/>
      </w:pPr>
      <w:r>
        <w:rPr>
          <w:rFonts w:ascii="Arial" w:hAnsi="Arial"/>
          <w:b/>
          <w:color w:val="41748D"/>
          <w:sz w:val="28"/>
        </w:rPr>
        <w:t>Pipeline Quality Gate Engine (Java)</w:t>
      </w:r>
    </w:p>
    <w:p>
      <w:pPr>
        <w:spacing w:after="120" w:line="276" w:lineRule="auto"/>
      </w:pPr>
      <w:r>
        <w:rPr>
          <w:rFonts w:ascii="Calibri" w:hAnsi="Calibri"/>
          <w:color w:val="333333"/>
          <w:sz w:val="22"/>
        </w:rPr>
        <w:t>A programmatic gate evaluating test execution results, coverage thresholds, and response time SLAs before artifact promotion:</w:t>
      </w:r>
    </w:p>
    <w:tbl>
      <w:tblPr>
        <w:tblW w:type="auto" w:w="0"/>
        <w:jc w:val="center"/>
        <w:tblLook w:firstColumn="1" w:firstRow="1" w:lastColumn="0" w:lastRow="0" w:noHBand="0" w:noVBand="1" w:val="04A0"/>
      </w:tblPr>
      <w:tblGrid>
        <w:gridCol w:w="9360"/>
      </w:tblGrid>
      <w:tr>
        <w:tc>
          <w:tcPr>
            <w:tcW w:type="dxa" w:w="9360"/>
            <w:shd w:fill="2D3748"/>
          </w:tcPr>
          <w:p>
            <w:pPr>
              <w:spacing w:before="120" w:after="40"/>
            </w:pPr>
            <w:r>
              <w:rPr>
                <w:rFonts w:ascii="Courier New" w:hAnsi="Courier New"/>
                <w:b/>
                <w:color w:val="A0AEC0"/>
                <w:sz w:val="18"/>
              </w:rPr>
              <w:t>💻 ReleaseQualityGate.java</w:t>
              <w:br/>
            </w:r>
          </w:p>
          <w:p>
            <w:pPr>
              <w:spacing w:before="40" w:after="120"/>
            </w:pPr>
            <w:r>
              <w:rPr>
                <w:rFonts w:ascii="Consolas" w:hAnsi="Consolas"/>
                <w:color w:val="E2E8F0"/>
                <w:sz w:val="19"/>
              </w:rPr>
              <w:t>package enterprise.qe.gates;</w:t>
              <w:br/>
              <w:br/>
              <w:t>public class ReleaseQualityGate {</w:t>
              <w:br/>
              <w:t xml:space="preserve">    public static boolean isReleaseReady(int failedTests, double coverage, int criticalBugs, double avgResponseTime) {</w:t>
              <w:br/>
              <w:t xml:space="preserve">        if (failedTests &gt; 0) return false;</w:t>
              <w:br/>
              <w:t xml:space="preserve">        if (coverage &lt; 80.0) return false;</w:t>
              <w:br/>
              <w:t xml:space="preserve">        if (criticalBugs &gt; 0) return false;</w:t>
              <w:br/>
              <w:t xml:space="preserve">        if (avgResponseTime &gt; 2000) return false;</w:t>
              <w:br/>
              <w:t xml:space="preserve">        return true;</w:t>
              <w:br/>
              <w:t xml:space="preserve">    }</w:t>
              <w:br/>
              <w:t>}</w:t>
            </w:r>
          </w:p>
        </w:tc>
      </w:tr>
    </w:tbl>
    <w:p>
      <w:pPr>
        <w:spacing w:after="120"/>
      </w:pPr>
    </w:p>
    <w:p>
      <w:pPr>
        <w:spacing w:before="240" w:after="80"/>
      </w:pPr>
      <w:r>
        <w:rPr>
          <w:rFonts w:ascii="Arial" w:hAnsi="Arial"/>
          <w:b/>
          <w:color w:val="41748D"/>
          <w:sz w:val="28"/>
        </w:rPr>
        <w:t>Performance Testing with Locust (Python)</w:t>
      </w:r>
    </w:p>
    <w:p>
      <w:pPr>
        <w:spacing w:after="120" w:line="276" w:lineRule="auto"/>
      </w:pPr>
      <w:r>
        <w:rPr>
          <w:rFonts w:ascii="Calibri" w:hAnsi="Calibri"/>
          <w:color w:val="333333"/>
          <w:sz w:val="22"/>
        </w:rPr>
        <w:t>Simulating concurrent user load against microservices in pre-prod or CI/CD environments:</w:t>
      </w:r>
    </w:p>
    <w:tbl>
      <w:tblPr>
        <w:tblW w:type="auto" w:w="0"/>
        <w:jc w:val="center"/>
        <w:tblLook w:firstColumn="1" w:firstRow="1" w:lastColumn="0" w:lastRow="0" w:noHBand="0" w:noVBand="1" w:val="04A0"/>
      </w:tblPr>
      <w:tblGrid>
        <w:gridCol w:w="9360"/>
      </w:tblGrid>
      <w:tr>
        <w:tc>
          <w:tcPr>
            <w:tcW w:type="dxa" w:w="9360"/>
            <w:shd w:fill="2D3748"/>
          </w:tcPr>
          <w:p>
            <w:pPr>
              <w:spacing w:before="120" w:after="40"/>
            </w:pPr>
            <w:r>
              <w:rPr>
                <w:rFonts w:ascii="Courier New" w:hAnsi="Courier New"/>
                <w:b/>
                <w:color w:val="A0AEC0"/>
                <w:sz w:val="18"/>
              </w:rPr>
              <w:t>💻 Locust API Performance Test (api_performance_test.py)</w:t>
              <w:br/>
            </w:r>
          </w:p>
          <w:p>
            <w:pPr>
              <w:spacing w:before="40" w:after="120"/>
            </w:pPr>
            <w:r>
              <w:rPr>
                <w:rFonts w:ascii="Consolas" w:hAnsi="Consolas"/>
                <w:color w:val="E2E8F0"/>
                <w:sz w:val="19"/>
              </w:rPr>
              <w:t>from locust import HttpUser, task, between</w:t>
              <w:br/>
              <w:br/>
              <w:t>class WebsiteUser(HttpUser):</w:t>
              <w:br/>
              <w:t xml:space="preserve">    wait_time = between(1, 2)</w:t>
              <w:br/>
              <w:br/>
              <w:t xml:space="preserve">    @task</w:t>
              <w:br/>
              <w:t xml:space="preserve">    def get_posts(self):</w:t>
              <w:br/>
              <w:t xml:space="preserve">        self.client.get("/posts/1", name="/posts/[id]")</w:t>
              <w:br/>
              <w:br/>
              <w:t xml:space="preserve">    @task(3)</w:t>
              <w:br/>
              <w:t xml:space="preserve">    def create_post(self):</w:t>
              <w:br/>
              <w:t xml:space="preserve">        payload = {"title": "load-test", "body": "test-body", "userId": 1}</w:t>
              <w:br/>
              <w:t xml:space="preserve">        self.client.post("/posts", json=payload)</w:t>
            </w:r>
          </w:p>
        </w:tc>
      </w:tr>
    </w:tbl>
    <w:p>
      <w:pPr>
        <w:spacing w:after="120"/>
      </w:pPr>
    </w:p>
    <w:p>
      <w:pPr>
        <w:spacing w:before="360" w:after="120"/>
      </w:pPr>
      <w:r>
        <w:rPr>
          <w:rFonts w:ascii="Arial" w:hAnsi="Arial"/>
          <w:b/>
          <w:color w:val="1B365D"/>
          <w:sz w:val="36"/>
        </w:rPr>
        <w:t>5. Phase 4: Advanced AI Governance Architecture</w:t>
      </w:r>
    </w:p>
    <w:p>
      <w:pPr>
        <w:spacing w:after="120" w:line="276" w:lineRule="auto"/>
      </w:pPr>
      <w:r>
        <w:rPr>
          <w:rFonts w:ascii="Calibri" w:hAnsi="Calibri"/>
          <w:color w:val="333333"/>
          <w:sz w:val="22"/>
        </w:rPr>
        <w:t>The cutting edge of enterprise QA leadership requires mastering three pivotal architectural patterns:</w:t>
      </w:r>
    </w:p>
    <w:p>
      <w:pPr>
        <w:spacing w:before="240" w:after="80"/>
      </w:pPr>
      <w:r>
        <w:rPr>
          <w:rFonts w:ascii="Arial" w:hAnsi="Arial"/>
          <w:b/>
          <w:color w:val="41748D"/>
          <w:sz w:val="28"/>
        </w:rPr>
        <w:t>Trust Architecture &amp; Explainability Logs</w:t>
      </w:r>
    </w:p>
    <w:p>
      <w:pPr>
        <w:spacing w:after="120" w:line="276" w:lineRule="auto"/>
      </w:pPr>
      <w:r>
        <w:rPr>
          <w:rFonts w:ascii="Calibri" w:hAnsi="Calibri"/>
          <w:color w:val="333333"/>
          <w:sz w:val="22"/>
        </w:rPr>
        <w:t>Corporate boards and regulators require that automated AI pipeline decisions are defensible. Trust Architecture mandates structured audit logs containing model versions, rubrics, input context, and confidence scores.</w:t>
      </w:r>
    </w:p>
    <w:p>
      <w:pPr>
        <w:spacing w:before="240" w:after="80"/>
      </w:pPr>
      <w:r>
        <w:rPr>
          <w:rFonts w:ascii="Arial" w:hAnsi="Arial"/>
          <w:b/>
          <w:color w:val="41748D"/>
          <w:sz w:val="28"/>
        </w:rPr>
        <w:t>LLM-as-a-Judge Evaluation Harness</w:t>
      </w:r>
    </w:p>
    <w:p>
      <w:pPr>
        <w:spacing w:after="120" w:line="276" w:lineRule="auto"/>
      </w:pPr>
      <w:r>
        <w:rPr>
          <w:rFonts w:ascii="Calibri" w:hAnsi="Calibri"/>
          <w:color w:val="333333"/>
          <w:sz w:val="22"/>
        </w:rPr>
        <w:t>When testing unstructured AI outputs (e.g., chat assistants, dynamic JSON payloads), traditional assertions fail. We use a foundational model as a programmatic test judge:</w:t>
      </w:r>
    </w:p>
    <w:tbl>
      <w:tblPr>
        <w:tblW w:type="auto" w:w="0"/>
        <w:jc w:val="center"/>
        <w:tblLook w:firstColumn="1" w:firstRow="1" w:lastColumn="0" w:lastRow="0" w:noHBand="0" w:noVBand="1" w:val="04A0"/>
      </w:tblPr>
      <w:tblGrid>
        <w:gridCol w:w="9360"/>
      </w:tblGrid>
      <w:tr>
        <w:tc>
          <w:tcPr>
            <w:tcW w:type="dxa" w:w="9360"/>
            <w:shd w:fill="2D3748"/>
          </w:tcPr>
          <w:p>
            <w:pPr>
              <w:spacing w:before="120" w:after="40"/>
            </w:pPr>
            <w:r>
              <w:rPr>
                <w:rFonts w:ascii="Courier New" w:hAnsi="Courier New"/>
                <w:b/>
                <w:color w:val="A0AEC0"/>
                <w:sz w:val="18"/>
              </w:rPr>
              <w:t>💻 LLM-as-a-Judge Evaluator (llm_judge_evaluator.py)</w:t>
              <w:br/>
            </w:r>
          </w:p>
          <w:p>
            <w:pPr>
              <w:spacing w:before="40" w:after="120"/>
            </w:pPr>
            <w:r>
              <w:rPr>
                <w:rFonts w:ascii="Consolas" w:hAnsi="Consolas"/>
                <w:color w:val="E2E8F0"/>
                <w:sz w:val="19"/>
              </w:rPr>
              <w:t>import json</w:t>
              <w:br/>
              <w:br/>
              <w:t>class LLMJudgeEvaluator:</w:t>
              <w:br/>
              <w:t xml:space="preserve">    def evaluate_output(self, system_output: str, risk_rubric: dict) -&gt; dict:</w:t>
              <w:br/>
              <w:t xml:space="preserve">        score = 100</w:t>
              <w:br/>
              <w:t xml:space="preserve">        violations = []</w:t>
              <w:br/>
              <w:t xml:space="preserve">        if "error" in system_output.lower() and not risk_rubric.get("allow_errors", False):</w:t>
              <w:br/>
              <w:t xml:space="preserve">            score -= 40</w:t>
              <w:br/>
              <w:t xml:space="preserve">            violations.append("Uncaught error terminology detected.")</w:t>
              <w:br/>
              <w:t xml:space="preserve">            </w:t>
              <w:br/>
              <w:t xml:space="preserve">        passed = score &gt;= risk_rubric.get("passing_threshold", 70)</w:t>
              <w:br/>
              <w:t xml:space="preserve">        return {</w:t>
              <w:br/>
              <w:t xml:space="preserve">            "score": score,</w:t>
              <w:br/>
              <w:t xml:space="preserve">            "passed": passed,</w:t>
              <w:br/>
              <w:t xml:space="preserve">            "explainability_reasoning": violations if violations else ["Passed safety &amp; quality boundaries."]</w:t>
              <w:br/>
              <w:t xml:space="preserve">        }</w:t>
            </w:r>
          </w:p>
        </w:tc>
      </w:tr>
    </w:tbl>
    <w:p>
      <w:pPr>
        <w:spacing w:after="120"/>
      </w:pPr>
    </w:p>
    <w:p>
      <w:pPr>
        <w:spacing w:before="240" w:after="80"/>
      </w:pPr>
      <w:r>
        <w:rPr>
          <w:rFonts w:ascii="Arial" w:hAnsi="Arial"/>
          <w:b/>
          <w:color w:val="41748D"/>
          <w:sz w:val="28"/>
        </w:rPr>
        <w:t>Shift-Right Integration &amp; Production Telemetry</w:t>
      </w:r>
    </w:p>
    <w:p>
      <w:pPr>
        <w:spacing w:after="120" w:line="276" w:lineRule="auto"/>
      </w:pPr>
      <w:r>
        <w:rPr>
          <w:rFonts w:ascii="Calibri" w:hAnsi="Calibri"/>
          <w:color w:val="333333"/>
          <w:sz w:val="22"/>
        </w:rPr>
        <w:t>Moving beyond staging by integrating automated synthetic canary tests and APM telemetry feedback loops directly into production environments.</w:t>
      </w:r>
    </w:p>
    <w:p>
      <w:pPr>
        <w:spacing w:before="360" w:after="120"/>
      </w:pPr>
      <w:r>
        <w:rPr>
          <w:rFonts w:ascii="Arial" w:hAnsi="Arial"/>
          <w:b/>
          <w:color w:val="1B365D"/>
          <w:sz w:val="36"/>
        </w:rPr>
        <w:t>6. Real-World Enterprise Blueprint: Azure, AWS &amp; Agentic Tooling</w:t>
      </w:r>
    </w:p>
    <w:p>
      <w:pPr>
        <w:spacing w:after="120" w:line="276" w:lineRule="auto"/>
      </w:pPr>
      <w:r>
        <w:rPr>
          <w:rFonts w:ascii="Calibri" w:hAnsi="Calibri"/>
          <w:color w:val="333333"/>
          <w:sz w:val="22"/>
        </w:rPr>
        <w:t>How Fortune 500 engineering organizations (Verizon, Trimble, CIBC) apply these exact patterns in production today:</w:t>
      </w:r>
    </w:p>
    <w:p>
      <w:pPr>
        <w:pStyle w:val="ListBullet"/>
        <w:spacing w:after="60" w:line="276" w:lineRule="auto"/>
      </w:pPr>
      <w:r>
        <w:rPr>
          <w:rFonts w:ascii="Calibri" w:hAnsi="Calibri"/>
          <w:b/>
          <w:color w:val="2C3E50"/>
          <w:sz w:val="22"/>
        </w:rPr>
        <w:t xml:space="preserve">Microsoft Azure AI Ecosystem: </w:t>
      </w:r>
      <w:r>
        <w:rPr>
          <w:rFonts w:ascii="Calibri" w:hAnsi="Calibri"/>
          <w:color w:val="333333"/>
          <w:sz w:val="22"/>
        </w:rPr>
        <w:t>Deploying Azure OpenAI Service (GPT-4o) behind enterprise private endpoints for test data synthesis and LLM-as-a-Judge validation pipelines.</w:t>
      </w:r>
    </w:p>
    <w:p>
      <w:pPr>
        <w:pStyle w:val="ListBullet"/>
        <w:spacing w:after="60" w:line="276" w:lineRule="auto"/>
      </w:pPr>
      <w:r>
        <w:rPr>
          <w:rFonts w:ascii="Calibri" w:hAnsi="Calibri"/>
          <w:b/>
          <w:color w:val="2C3E50"/>
          <w:sz w:val="22"/>
        </w:rPr>
        <w:t xml:space="preserve">AWS Bedrock &amp; Cloud Testing: </w:t>
      </w:r>
      <w:r>
        <w:rPr>
          <w:rFonts w:ascii="Calibri" w:hAnsi="Calibri"/>
          <w:color w:val="333333"/>
          <w:sz w:val="22"/>
        </w:rPr>
        <w:t>Leveraging Amazon Bedrock with Anthropic Claude for secure, cross-region LLM agent integrations and test orchestration.</w:t>
      </w:r>
    </w:p>
    <w:p>
      <w:pPr>
        <w:pStyle w:val="ListBullet"/>
        <w:spacing w:after="60" w:line="276" w:lineRule="auto"/>
      </w:pPr>
      <w:r>
        <w:rPr>
          <w:rFonts w:ascii="Calibri" w:hAnsi="Calibri"/>
          <w:b/>
          <w:color w:val="2C3E50"/>
          <w:sz w:val="22"/>
        </w:rPr>
        <w:t xml:space="preserve">Agentic Tooling &amp; MCP Servers: </w:t>
      </w:r>
      <w:r>
        <w:rPr>
          <w:rFonts w:ascii="Calibri" w:hAnsi="Calibri"/>
          <w:color w:val="333333"/>
          <w:sz w:val="22"/>
        </w:rPr>
        <w:t>Using agentic frameworks (custom Python agents and Model Context Protocol servers) to securely connect LLM agents to internal Jira, GitHub, and CI/CD pipelines.</w:t>
      </w:r>
    </w:p>
    <w:tbl>
      <w:tblPr>
        <w:tblW w:type="auto" w:w="0"/>
        <w:jc w:val="center"/>
        <w:tblLook w:firstColumn="1" w:firstRow="1" w:lastColumn="0" w:lastRow="0" w:noHBand="0" w:noVBand="1" w:val="04A0"/>
      </w:tblPr>
      <w:tblGrid>
        <w:gridCol w:w="9360"/>
      </w:tblGrid>
      <w:tr>
        <w:tc>
          <w:tcPr>
            <w:tcW w:type="dxa" w:w="9360"/>
            <w:shd w:fill="F4F6F9"/>
            <w:tcBorders>
              <w:left w:val="single" w:sz="36" w:space="0" w:color="1B365D"/>
              <w:top w:val="none"/>
              <w:right w:val="none"/>
              <w:bottom w:val="none"/>
            </w:tcBorders>
          </w:tcPr>
          <w:p>
            <w:pPr>
              <w:spacing w:before="120" w:after="40"/>
            </w:pPr>
            <w:r>
              <w:rPr>
                <w:rFonts w:ascii="Arial" w:hAnsi="Arial"/>
                <w:b/>
                <w:color w:val="1B365D"/>
                <w:sz w:val="20"/>
              </w:rPr>
              <w:t>📌 READY FOR LEADERSHIP</w:t>
              <w:br/>
            </w:r>
            <w:r>
              <w:rPr>
                <w:rFonts w:ascii="Calibri" w:hAnsi="Calibri"/>
                <w:i/>
                <w:color w:val="333333"/>
                <w:sz w:val="21"/>
              </w:rPr>
              <w:t>By mastering these frameworks—spanning Python, Java, TypeScript, Playwright, Locust performance testing, and advanced AI Governance—you are fully prepared for senior QA engineering management roles.</w:t>
            </w:r>
          </w:p>
        </w:tc>
      </w:tr>
    </w:tbl>
    <w:p>
      <w:pPr>
        <w:spacing w:after="12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