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UNIVERSIDAD ABIERTA PARA ADULTO</w:t>
      </w:r>
      <w:r w:rsidDel="00000000" w:rsidR="00000000" w:rsidRPr="00000000">
        <w:rPr>
          <w:rtl w:val="0"/>
        </w:rPr>
      </w:r>
    </w:p>
    <w:p w:rsidR="00000000" w:rsidDel="00000000" w:rsidP="00000000" w:rsidRDefault="00000000" w:rsidRPr="00000000" w14:paraId="00000002">
      <w:pPr>
        <w:spacing w:line="259" w:lineRule="auto"/>
        <w:jc w:val="center"/>
        <w:rPr>
          <w:rFonts w:ascii="Arial" w:cs="Arial" w:eastAsia="Arial" w:hAnsi="Arial"/>
          <w:b w:val="1"/>
          <w:bCs w:val="1"/>
          <w:sz w:val="40"/>
          <w:szCs w:val="40"/>
        </w:rPr>
      </w:pPr>
      <w:r w:rsidDel="00000000" w:rsidR="00000000" w:rsidRPr="00000000">
        <w:rPr>
          <w:rFonts w:ascii="Calibri" w:cs="Calibri" w:eastAsia="Calibri" w:hAnsi="Calibri"/>
          <w:b w:val="1"/>
          <w:bCs w:val="1"/>
          <w:sz w:val="40"/>
          <w:szCs w:val="40"/>
          <w:rtl w:val="0"/>
        </w:rPr>
        <w:t xml:space="preserve">(UAPA)</w:t>
      </w:r>
      <w:r w:rsidDel="00000000" w:rsidR="00000000" w:rsidRPr="00000000">
        <w:rPr>
          <w:rtl w:val="0"/>
        </w:rPr>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0" distT="0" distL="0" distR="0">
            <wp:extent cx="3343275" cy="1809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32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32"/>
          <w:szCs w:val="32"/>
          <w:rtl w:val="0"/>
        </w:rPr>
        <w:t xml:space="preserve">Asignatura:</w:t>
      </w:r>
      <w:r w:rsidDel="00000000" w:rsidR="00000000" w:rsidRPr="00000000">
        <w:rPr>
          <w:rtl w:val="0"/>
        </w:rPr>
      </w:r>
    </w:p>
    <w:p w:rsidR="00000000" w:rsidDel="00000000" w:rsidP="00000000" w:rsidRDefault="00000000" w:rsidRPr="00000000" w14:paraId="00000005">
      <w:pPr>
        <w:pStyle w:val="Heading1"/>
        <w:keepNext w:val="0"/>
        <w:keepLines w:val="0"/>
        <w:spacing w:after="120" w:line="276" w:lineRule="auto"/>
        <w:ind w:left="2160" w:firstLine="0"/>
        <w:rPr>
          <w:b w:val="0"/>
          <w:bCs w:val="0"/>
          <w:color w:val="000000"/>
          <w:sz w:val="24"/>
          <w:szCs w:val="24"/>
        </w:rPr>
      </w:pPr>
      <w:bookmarkStart w:colFirst="0" w:colLast="0" w:name="_ri2tkf6ffq1n" w:id="0"/>
      <w:bookmarkEnd w:id="0"/>
      <w:r w:rsidDel="00000000" w:rsidR="00000000" w:rsidRPr="00000000">
        <w:rPr>
          <w:b w:val="0"/>
          <w:bCs w:val="0"/>
          <w:color w:val="000000"/>
          <w:sz w:val="24"/>
          <w:szCs w:val="24"/>
          <w:rtl w:val="0"/>
        </w:rPr>
        <w:t xml:space="preserve">       Formación de Empresas de Base Tecnológica</w:t>
      </w:r>
    </w:p>
    <w:p w:rsidR="00000000" w:rsidDel="00000000" w:rsidP="00000000" w:rsidRDefault="00000000" w:rsidRPr="00000000" w14:paraId="00000006">
      <w:pPr>
        <w:spacing w:after="0" w:line="27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0" w:line="276" w:lineRule="auto"/>
        <w:ind w:left="216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32"/>
          <w:szCs w:val="32"/>
          <w:rtl w:val="0"/>
        </w:rPr>
        <w:t xml:space="preserve">Nombre:</w:t>
      </w:r>
      <w:r w:rsidDel="00000000" w:rsidR="00000000" w:rsidRPr="00000000">
        <w:rPr>
          <w:rtl w:val="0"/>
        </w:rPr>
      </w:r>
    </w:p>
    <w:p w:rsidR="00000000" w:rsidDel="00000000" w:rsidP="00000000" w:rsidRDefault="00000000" w:rsidRPr="00000000" w14:paraId="00000009">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Raymi German</w:t>
      </w:r>
    </w:p>
    <w:p w:rsidR="00000000" w:rsidDel="00000000" w:rsidP="00000000" w:rsidRDefault="00000000" w:rsidRPr="00000000" w14:paraId="0000000A">
      <w:pPr>
        <w:spacing w:line="36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Matricula:</w:t>
      </w:r>
    </w:p>
    <w:p w:rsidR="00000000" w:rsidDel="00000000" w:rsidP="00000000" w:rsidRDefault="00000000" w:rsidRPr="00000000" w14:paraId="0000000B">
      <w:pPr>
        <w:spacing w:line="360" w:lineRule="auto"/>
        <w:jc w:val="center"/>
        <w:rPr>
          <w:rFonts w:ascii="Calibri" w:cs="Calibri" w:eastAsia="Calibri" w:hAnsi="Calibri"/>
          <w:sz w:val="32"/>
          <w:szCs w:val="32"/>
        </w:rPr>
      </w:pPr>
      <w:r w:rsidDel="00000000" w:rsidR="00000000" w:rsidRPr="00000000">
        <w:rPr>
          <w:rFonts w:ascii="Calibri" w:cs="Calibri" w:eastAsia="Calibri" w:hAnsi="Calibri"/>
          <w:sz w:val="24"/>
          <w:szCs w:val="24"/>
          <w:rtl w:val="0"/>
        </w:rPr>
        <w:t xml:space="preserve">100048833</w:t>
      </w:r>
      <w:r w:rsidDel="00000000" w:rsidR="00000000" w:rsidRPr="00000000">
        <w:rPr>
          <w:rtl w:val="0"/>
        </w:rPr>
      </w:r>
    </w:p>
    <w:p w:rsidR="00000000" w:rsidDel="00000000" w:rsidP="00000000" w:rsidRDefault="00000000" w:rsidRPr="00000000" w14:paraId="0000000C">
      <w:pPr>
        <w:spacing w:line="360"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D">
      <w:pPr>
        <w:pStyle w:val="Heading1"/>
        <w:spacing w:line="312" w:lineRule="auto"/>
        <w:rPr>
          <w:b w:val="0"/>
          <w:bCs w:val="0"/>
          <w:color w:val="000000"/>
          <w:sz w:val="24"/>
          <w:szCs w:val="24"/>
        </w:rPr>
      </w:pPr>
      <w:bookmarkStart w:colFirst="0" w:colLast="0" w:name="_csx3j0way2ea" w:id="1"/>
      <w:bookmarkEnd w:id="1"/>
      <w:r w:rsidDel="00000000" w:rsidR="00000000" w:rsidRPr="00000000">
        <w:rPr>
          <w:b w:val="0"/>
          <w:bCs w:val="0"/>
          <w:color w:val="000000"/>
          <w:sz w:val="24"/>
          <w:szCs w:val="24"/>
          <w:rtl w:val="0"/>
        </w:rPr>
        <w:t xml:space="preserve">                                                                     </w:t>
      </w:r>
    </w:p>
    <w:p w:rsidR="00000000" w:rsidDel="00000000" w:rsidP="00000000" w:rsidRDefault="00000000" w:rsidRPr="00000000" w14:paraId="0000000E">
      <w:pPr>
        <w:pStyle w:val="Heading1"/>
        <w:spacing w:line="312" w:lineRule="auto"/>
        <w:rPr>
          <w:color w:val="000000"/>
          <w:sz w:val="32"/>
          <w:szCs w:val="32"/>
        </w:rPr>
      </w:pPr>
      <w:bookmarkStart w:colFirst="0" w:colLast="0" w:name="_4c3ln5uhfjh1" w:id="2"/>
      <w:bookmarkEnd w:id="2"/>
      <w:r w:rsidDel="00000000" w:rsidR="00000000" w:rsidRPr="00000000">
        <w:rPr>
          <w:rtl w:val="0"/>
        </w:rPr>
      </w:r>
    </w:p>
    <w:p w:rsidR="00000000" w:rsidDel="00000000" w:rsidP="00000000" w:rsidRDefault="00000000" w:rsidRPr="00000000" w14:paraId="0000000F">
      <w:pPr>
        <w:pStyle w:val="Heading1"/>
        <w:spacing w:line="312" w:lineRule="auto"/>
        <w:rPr>
          <w:color w:val="000000"/>
          <w:sz w:val="32"/>
          <w:szCs w:val="32"/>
        </w:rPr>
      </w:pPr>
      <w:bookmarkStart w:colFirst="0" w:colLast="0" w:name="_a6fu0u5lsckt" w:id="3"/>
      <w:bookmarkEnd w:id="3"/>
      <w:r w:rsidDel="00000000" w:rsidR="00000000" w:rsidRPr="00000000">
        <w:rPr>
          <w:color w:val="000000"/>
          <w:sz w:val="32"/>
          <w:szCs w:val="32"/>
          <w:rtl w:val="0"/>
        </w:rPr>
        <w:t xml:space="preserve">1. Introducción</w:t>
      </w:r>
    </w:p>
    <w:p w:rsidR="00000000" w:rsidDel="00000000" w:rsidP="00000000" w:rsidRDefault="00000000" w:rsidRPr="00000000" w14:paraId="00000010">
      <w:pPr>
        <w:spacing w:after="120"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la ingeniería de software moderna, la viabilidad de un sistema no solo se mide por su correcto funcionamiento técnico o la adecuada recolección de sus requisitos, sino también por su sostenibilidad económica. Un presupuesto estructurado permite estimar de forma realista el esfuerzo informático, los recursos materiales y operativos indispensables para materializar una idea de negocio. El presente informe detalla el plan financiero para el desarrollo del software de CarWash &amp; Café El Punto. Este presupuesto contempla desde las fases iniciales de análisis y diseño de interfaces, hasta el despliegue en la nube y el soporte posterior, utilizando tasas e indicadores actuales de la industria del software en el contexto de la República Dominicana.</w:t>
      </w:r>
    </w:p>
    <w:p w:rsidR="00000000" w:rsidDel="00000000" w:rsidP="00000000" w:rsidRDefault="00000000" w:rsidRPr="00000000" w14:paraId="00000011">
      <w:pPr>
        <w:pStyle w:val="Heading1"/>
        <w:keepNext w:val="1"/>
        <w:spacing w:after="120" w:before="360" w:lineRule="auto"/>
        <w:rPr>
          <w:color w:val="000000"/>
          <w:sz w:val="32"/>
          <w:szCs w:val="32"/>
        </w:rPr>
      </w:pPr>
      <w:bookmarkStart w:colFirst="0" w:colLast="0" w:name="_v5zkewe6kyb8" w:id="4"/>
      <w:bookmarkEnd w:id="4"/>
      <w:r w:rsidDel="00000000" w:rsidR="00000000" w:rsidRPr="00000000">
        <w:rPr>
          <w:color w:val="000000"/>
          <w:sz w:val="32"/>
          <w:szCs w:val="32"/>
          <w:rtl w:val="0"/>
        </w:rPr>
        <w:t xml:space="preserve">2. Alcance del Presupuesto del Proyecto</w:t>
      </w:r>
    </w:p>
    <w:p w:rsidR="00000000" w:rsidDel="00000000" w:rsidP="00000000" w:rsidRDefault="00000000" w:rsidRPr="00000000" w14:paraId="00000012">
      <w:pPr>
        <w:spacing w:after="120"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 este presupuesto cubre exclusivamente el diseño, desarrollo, despliegue, pruebas y puesta en marcha del sistema de software. Nota Aclaratoria: No incluye costos de infraestructura física del local, enfocándose únicamente en el activo digital y los recursos técnicos y humanos necesarios para programarlo y mantenerlo operativo durante su etapa inicial.</w:t>
      </w:r>
    </w:p>
    <w:p w:rsidR="00000000" w:rsidDel="00000000" w:rsidP="00000000" w:rsidRDefault="00000000" w:rsidRPr="00000000" w14:paraId="00000013">
      <w:pPr>
        <w:pStyle w:val="Heading1"/>
        <w:keepNext w:val="1"/>
        <w:spacing w:after="120" w:before="360" w:lineRule="auto"/>
        <w:rPr>
          <w:rFonts w:ascii="Arial" w:cs="Arial" w:eastAsia="Arial" w:hAnsi="Arial"/>
          <w:color w:val="000000"/>
        </w:rPr>
      </w:pPr>
      <w:bookmarkStart w:colFirst="0" w:colLast="0" w:name="_ut9080y3fbkt" w:id="5"/>
      <w:bookmarkEnd w:id="5"/>
      <w:r w:rsidDel="00000000" w:rsidR="00000000" w:rsidRPr="00000000">
        <w:rPr>
          <w:rFonts w:ascii="Arial" w:cs="Arial" w:eastAsia="Arial" w:hAnsi="Arial"/>
          <w:b w:val="1"/>
          <w:bCs w:val="1"/>
          <w:color w:val="000000"/>
          <w:rtl w:val="0"/>
        </w:rPr>
        <w:t xml:space="preserve">3. Cuestionario Teórico de Planificación Financiera</w:t>
      </w:r>
      <w:r w:rsidDel="00000000" w:rsidR="00000000" w:rsidRPr="00000000">
        <w:rPr>
          <w:rtl w:val="0"/>
        </w:rPr>
      </w:r>
    </w:p>
    <w:p w:rsidR="00000000" w:rsidDel="00000000" w:rsidP="00000000" w:rsidRDefault="00000000" w:rsidRPr="00000000" w14:paraId="00000014">
      <w:pPr>
        <w:pStyle w:val="Heading2"/>
        <w:keepNext w:val="1"/>
        <w:spacing w:after="80" w:before="240" w:lineRule="auto"/>
        <w:rPr>
          <w:rFonts w:ascii="Arial" w:cs="Arial" w:eastAsia="Arial" w:hAnsi="Arial"/>
          <w:color w:val="000000"/>
          <w:sz w:val="24"/>
          <w:szCs w:val="24"/>
        </w:rPr>
      </w:pPr>
      <w:bookmarkStart w:colFirst="0" w:colLast="0" w:name="_h0c3bpjfnvlf" w:id="6"/>
      <w:bookmarkEnd w:id="6"/>
      <w:r w:rsidDel="00000000" w:rsidR="00000000" w:rsidRPr="00000000">
        <w:rPr>
          <w:rFonts w:ascii="Arial" w:cs="Arial" w:eastAsia="Arial" w:hAnsi="Arial"/>
          <w:color w:val="000000"/>
          <w:sz w:val="24"/>
          <w:szCs w:val="24"/>
          <w:rtl w:val="0"/>
        </w:rPr>
        <w:t xml:space="preserve">3.1. ¿Por qué es importante presupuestar un presupuesto a su proyecto?</w:t>
      </w:r>
    </w:p>
    <w:p w:rsidR="00000000" w:rsidDel="00000000" w:rsidP="00000000" w:rsidRDefault="00000000" w:rsidRPr="00000000" w14:paraId="00000015">
      <w:pPr>
        <w:spacing w:after="120"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elaboración de un presupuesto para un proyecto de software es un pilar fundamental para garantizar su viabilidad. En primer lugar, permite una Asignación Eficiente de Recursos, determinando con precisión el costo asociado al tiempo de desarrollo, infraestructura en la nube y herramientas de terceros de forma anticipada. De acuerdo con las metodologías tradicionales de estimación ágil (como se detalla en referentes de estimación de proyectos de software), los esfuerzos se desglosan según la complejidad de las tareas (simples, normales o complejas), traduciendo el esfuerzo en horas de programación hacia un valor financiero real.</w:t>
      </w:r>
    </w:p>
    <w:p w:rsidR="00000000" w:rsidDel="00000000" w:rsidP="00000000" w:rsidRDefault="00000000" w:rsidRPr="00000000" w14:paraId="00000016">
      <w:pPr>
        <w:spacing w:after="120"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Asimismo, funciona como un mecanismo esencial de Control Financiero y Línea Base, permitiendo evaluar si la ejecución se desvía del gasto previsto. También ayuda al desarrollador a estructurar la toma de decisiones sobre el alcance, priorizando los requisitos del Producto Mínimo Viable (MVP). Finalmente, otorga orden al negocio al segmentar las entradas: mano de obra (aproximadamente 50%), costos fijos (30%), imprevistos (10%) y beneficio neto (10%).</w:t>
      </w:r>
    </w:p>
    <w:p w:rsidR="00000000" w:rsidDel="00000000" w:rsidP="00000000" w:rsidRDefault="00000000" w:rsidRPr="00000000" w14:paraId="00000017">
      <w:pPr>
        <w:pStyle w:val="Heading2"/>
        <w:keepNext w:val="1"/>
        <w:spacing w:after="80" w:before="240" w:lineRule="auto"/>
        <w:rPr>
          <w:rFonts w:ascii="Arial" w:cs="Arial" w:eastAsia="Arial" w:hAnsi="Arial"/>
          <w:color w:val="000000"/>
          <w:sz w:val="24"/>
          <w:szCs w:val="24"/>
        </w:rPr>
      </w:pPr>
      <w:bookmarkStart w:colFirst="0" w:colLast="0" w:name="_kv75sat0jycg" w:id="7"/>
      <w:bookmarkEnd w:id="7"/>
      <w:r w:rsidDel="00000000" w:rsidR="00000000" w:rsidRPr="00000000">
        <w:rPr>
          <w:rFonts w:ascii="Arial" w:cs="Arial" w:eastAsia="Arial" w:hAnsi="Arial"/>
          <w:b w:val="1"/>
          <w:bCs w:val="1"/>
          <w:color w:val="000000"/>
          <w:sz w:val="24"/>
          <w:szCs w:val="24"/>
          <w:rtl w:val="0"/>
        </w:rPr>
        <w:t xml:space="preserve">3.2. ¿Qué riesgos existen si no se planifican los costos su proyecto?</w:t>
      </w:r>
      <w:r w:rsidDel="00000000" w:rsidR="00000000" w:rsidRPr="00000000">
        <w:rPr>
          <w:rtl w:val="0"/>
        </w:rPr>
      </w:r>
    </w:p>
    <w:p w:rsidR="00000000" w:rsidDel="00000000" w:rsidP="00000000" w:rsidRDefault="00000000" w:rsidRPr="00000000" w14:paraId="00000018">
      <w:pPr>
        <w:spacing w:after="120"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omitir una planificación financiera estructurada expone al proyecto de software a riesgos críticos que comprometen su entrega final:</w:t>
      </w:r>
    </w:p>
    <w:p w:rsidR="00000000" w:rsidDel="00000000" w:rsidP="00000000" w:rsidRDefault="00000000" w:rsidRPr="00000000" w14:paraId="00000019">
      <w:pPr>
        <w:numPr>
          <w:ilvl w:val="0"/>
          <w:numId w:val="1"/>
        </w:numPr>
        <w:spacing w:after="0" w:afterAutospacing="0" w:line="30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Abandono del Proyecto por Falta de Fondos: </w:t>
      </w:r>
      <w:r w:rsidDel="00000000" w:rsidR="00000000" w:rsidRPr="00000000">
        <w:rPr>
          <w:rFonts w:ascii="Arial" w:cs="Arial" w:eastAsia="Arial" w:hAnsi="Arial"/>
          <w:sz w:val="24"/>
          <w:szCs w:val="24"/>
          <w:rtl w:val="0"/>
        </w:rPr>
        <w:t xml:space="preserve"> El riesgo más común es iniciar la codificación sin calcular costos operativos futuros (servidores, bases de datos o pasarelas de mensajería API), provocando el agotamiento de fondos a mitad del ciclo de desarrollo y forzando el abandono definitivo.</w:t>
      </w:r>
    </w:p>
    <w:p w:rsidR="00000000" w:rsidDel="00000000" w:rsidP="00000000" w:rsidRDefault="00000000" w:rsidRPr="00000000" w14:paraId="0000001A">
      <w:pPr>
        <w:numPr>
          <w:ilvl w:val="0"/>
          <w:numId w:val="1"/>
        </w:numPr>
        <w:spacing w:after="0" w:afterAutospacing="0" w:line="30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Subestimación del Esfuerzo Técnico: </w:t>
      </w:r>
      <w:r w:rsidDel="00000000" w:rsidR="00000000" w:rsidRPr="00000000">
        <w:rPr>
          <w:rFonts w:ascii="Arial" w:cs="Arial" w:eastAsia="Arial" w:hAnsi="Arial"/>
          <w:sz w:val="24"/>
          <w:szCs w:val="24"/>
          <w:rtl w:val="0"/>
        </w:rPr>
        <w:t xml:space="preserve"> Al no cuantificar el costo por hora en relación con la complejidad técnica de los módulos, el desarrollador o el equipo puede incurrir en sobreesfuerzos no remunerados, lo que genera retrasos masivos y desmotivación.</w:t>
      </w:r>
    </w:p>
    <w:p w:rsidR="00000000" w:rsidDel="00000000" w:rsidP="00000000" w:rsidRDefault="00000000" w:rsidRPr="00000000" w14:paraId="0000001B">
      <w:pPr>
        <w:numPr>
          <w:ilvl w:val="0"/>
          <w:numId w:val="1"/>
        </w:numPr>
        <w:spacing w:after="0" w:afterAutospacing="0" w:line="30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Deuda Técnica e Infraestructura Inadecuada: </w:t>
      </w:r>
      <w:r w:rsidDel="00000000" w:rsidR="00000000" w:rsidRPr="00000000">
        <w:rPr>
          <w:rFonts w:ascii="Arial" w:cs="Arial" w:eastAsia="Arial" w:hAnsi="Arial"/>
          <w:sz w:val="24"/>
          <w:szCs w:val="24"/>
          <w:rtl w:val="0"/>
        </w:rPr>
        <w:t xml:space="preserve"> Sin un presupuesto asignado para entornos cloud seguros o licencias, se tiende a improvisar con servicios gratuitos que comprometen la velocidad del sistema, la experiencia del cliente y la seguridad de los datos.</w:t>
      </w:r>
    </w:p>
    <w:p w:rsidR="00000000" w:rsidDel="00000000" w:rsidP="00000000" w:rsidRDefault="00000000" w:rsidRPr="00000000" w14:paraId="0000001C">
      <w:pPr>
        <w:numPr>
          <w:ilvl w:val="0"/>
          <w:numId w:val="1"/>
        </w:numPr>
        <w:spacing w:after="120" w:line="30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Incapacidad de Afrontar Imprevistos: </w:t>
      </w:r>
      <w:r w:rsidDel="00000000" w:rsidR="00000000" w:rsidRPr="00000000">
        <w:rPr>
          <w:rFonts w:ascii="Arial" w:cs="Arial" w:eastAsia="Arial" w:hAnsi="Arial"/>
          <w:sz w:val="24"/>
          <w:szCs w:val="24"/>
          <w:rtl w:val="0"/>
        </w:rPr>
        <w:t xml:space="preserve"> Todo software experimenta cambios de requisitos o fallos durante el aseguramiento de calidad. Sin un fondo de contingencia programado, cualquier obstáculo menor puede paralizar las operaciones por completo.</w:t>
      </w:r>
    </w:p>
    <w:p w:rsidR="00000000" w:rsidDel="00000000" w:rsidP="00000000" w:rsidRDefault="00000000" w:rsidRPr="00000000" w14:paraId="0000001D">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1"/>
        <w:spacing w:after="120" w:before="360" w:lineRule="auto"/>
        <w:rPr>
          <w:rFonts w:ascii="Arial" w:cs="Arial" w:eastAsia="Arial" w:hAnsi="Arial"/>
          <w:color w:val="000000"/>
        </w:rPr>
      </w:pPr>
      <w:bookmarkStart w:colFirst="0" w:colLast="0" w:name="_8abxxbpb1lsj" w:id="8"/>
      <w:bookmarkEnd w:id="8"/>
      <w:r w:rsidDel="00000000" w:rsidR="00000000" w:rsidRPr="00000000">
        <w:rPr>
          <w:rFonts w:ascii="Arial" w:cs="Arial" w:eastAsia="Arial" w:hAnsi="Arial"/>
          <w:b w:val="1"/>
          <w:bCs w:val="1"/>
          <w:color w:val="000000"/>
          <w:rtl w:val="0"/>
        </w:rPr>
        <w:t xml:space="preserve">4. Presupuesto Detallado</w:t>
      </w:r>
      <w:r w:rsidDel="00000000" w:rsidR="00000000" w:rsidRPr="00000000">
        <w:rPr>
          <w:rtl w:val="0"/>
        </w:rPr>
      </w:r>
    </w:p>
    <w:p w:rsidR="00000000" w:rsidDel="00000000" w:rsidP="00000000" w:rsidRDefault="00000000" w:rsidRPr="00000000" w14:paraId="0000001F">
      <w:pPr>
        <w:spacing w:after="120"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mantener la coherencia financiera con el mercado real de la República Dominicana, se asume un rol de desarrollador de software independiente con una tasa base estimada de RD$600.00 por hora de desarrollo. El proyecto se planifica sobre un cronograma de 12 semanas de trabajo continuo para las dos unidades comerciales.</w:t>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1a365d" w:space="0" w:sz="4" w:val="single"/>
              <w:left w:color="1a365d" w:space="0" w:sz="4" w:val="single"/>
              <w:bottom w:color="1a365d" w:space="0" w:sz="4" w:val="single"/>
              <w:right w:color="1a365d" w:space="0" w:sz="4" w:val="single"/>
            </w:tcBorders>
            <w:shd w:fill="cccccc" w:val="clear"/>
            <w:tcMar>
              <w:top w:w="140.0" w:type="dxa"/>
              <w:left w:w="150.0" w:type="dxa"/>
              <w:bottom w:w="140.0" w:type="dxa"/>
              <w:right w:w="150.0" w:type="dxa"/>
            </w:tcMar>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Categoría / Concepto</w:t>
            </w:r>
            <w:r w:rsidDel="00000000" w:rsidR="00000000" w:rsidRPr="00000000">
              <w:rPr>
                <w:rtl w:val="0"/>
              </w:rPr>
            </w:r>
          </w:p>
        </w:tc>
        <w:tc>
          <w:tcPr>
            <w:tcBorders>
              <w:top w:color="1a365d" w:space="0" w:sz="4" w:val="single"/>
              <w:left w:color="1a365d" w:space="0" w:sz="4" w:val="single"/>
              <w:bottom w:color="1a365d" w:space="0" w:sz="4" w:val="single"/>
              <w:right w:color="1a365d" w:space="0" w:sz="4" w:val="single"/>
            </w:tcBorders>
            <w:shd w:fill="cccccc" w:val="clear"/>
            <w:tcMar>
              <w:top w:w="140.0" w:type="dxa"/>
              <w:left w:w="150.0" w:type="dxa"/>
              <w:bottom w:w="140.0" w:type="dxa"/>
              <w:right w:w="150.0" w:type="dxa"/>
            </w:tcMar>
          </w:tcPr>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 y Justificación</w:t>
            </w:r>
            <w:r w:rsidDel="00000000" w:rsidR="00000000" w:rsidRPr="00000000">
              <w:rPr>
                <w:rtl w:val="0"/>
              </w:rPr>
            </w:r>
          </w:p>
        </w:tc>
        <w:tc>
          <w:tcPr>
            <w:tcBorders>
              <w:top w:color="1a365d" w:space="0" w:sz="4" w:val="single"/>
              <w:left w:color="1a365d" w:space="0" w:sz="4" w:val="single"/>
              <w:bottom w:color="1a365d" w:space="0" w:sz="4" w:val="single"/>
              <w:right w:color="1a365d" w:space="0" w:sz="4" w:val="single"/>
            </w:tcBorders>
            <w:shd w:fill="cccccc" w:val="clear"/>
            <w:tcMar>
              <w:top w:w="140.0" w:type="dxa"/>
              <w:left w:w="150.0" w:type="dxa"/>
              <w:bottom w:w="140.0" w:type="dxa"/>
              <w:right w:w="150.0" w:type="dxa"/>
            </w:tcMar>
          </w:tcPr>
          <w:p w:rsidR="00000000" w:rsidDel="00000000" w:rsidP="00000000" w:rsidRDefault="00000000" w:rsidRPr="00000000" w14:paraId="0000002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Costo Estimado (RD$)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Fase de Análisis y Diseño UI/UX</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24">
            <w:pPr>
              <w:rPr>
                <w:rFonts w:ascii="Arial" w:cs="Arial" w:eastAsia="Arial" w:hAnsi="Arial"/>
                <w:sz w:val="24"/>
                <w:szCs w:val="24"/>
              </w:rPr>
            </w:pPr>
            <w:r w:rsidDel="00000000" w:rsidR="00000000" w:rsidRPr="00000000">
              <w:rPr>
                <w:rFonts w:ascii="Arial" w:cs="Arial" w:eastAsia="Arial" w:hAnsi="Arial"/>
                <w:sz w:val="24"/>
                <w:szCs w:val="24"/>
                <w:rtl w:val="0"/>
              </w:rPr>
              <w:t xml:space="preserve">Levantamiento de requisitos y diseño de interfaces en Figma.</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30,000.00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 Backend y BD</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API en Node.js, lógica de turnos y base de datos SQL.</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28">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45,000.00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 Frontend</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Construcción del portal web de administración y la vista de pedidos del cliente por QR.</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2B">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40,000.00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Servidor en la Nube</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Alojamiento cloud con soporte relacional durante el desarrollo.</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2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3,500.00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Dominio Web</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Compra del nombre de dominio único para el sistema.</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1">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Licencias de Software y APIs</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Suscripción opcional a pasarelas de mensajería para notificaciones automáticas.</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4,500.00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Fase de Pruebas</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Pruebas integradas de estrés del flujo simultáneo de turnos y cafetería.</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12,000.00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Despliegue y Configuración Local</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física en terminales, tabletas de mesa e impresoras térmicas.</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A">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8,000.00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Capacitación del Personal</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Talleres de entrenamiento operativo para cajeros, lavadores y baristas.</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6,000.00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Fondo de Mantenimiento y Soporte</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Soporte post-entrega preventivo y corrección de bugs por un periodo de 3 meses.</w:t>
            </w:r>
          </w:p>
        </w:tc>
        <w:tc>
          <w:tcPr>
            <w:tcBorders>
              <w:top w:color="e2e8f0" w:space="0" w:sz="4" w:val="single"/>
              <w:left w:color="e2e8f0" w:space="0" w:sz="4" w:val="single"/>
              <w:bottom w:color="e2e8f0" w:space="0" w:sz="4" w:val="single"/>
              <w:right w:color="e2e8f0" w:space="0" w:sz="4" w:val="single"/>
            </w:tcBorders>
            <w:shd w:fill="f7fafc" w:val="clear"/>
            <w:tcMar>
              <w:top w:w="100.0" w:type="dxa"/>
              <w:left w:w="150.0" w:type="dxa"/>
              <w:bottom w:w="100.0" w:type="dxa"/>
              <w:right w:w="150.0" w:type="dxa"/>
            </w:tcMar>
          </w:tcPr>
          <w:p w:rsidR="00000000" w:rsidDel="00000000" w:rsidP="00000000" w:rsidRDefault="00000000" w:rsidRPr="00000000" w14:paraId="00000040">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15,000.00</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Gastos Extra / Imprevistos</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Fondo de reserva regulado para cambios de requerimientos o contingencias.</w:t>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50.0" w:type="dxa"/>
              <w:bottom w:w="100.0" w:type="dxa"/>
              <w:right w:w="150.0" w:type="dxa"/>
            </w:tcMar>
          </w:tcPr>
          <w:p w:rsidR="00000000" w:rsidDel="00000000" w:rsidP="00000000" w:rsidRDefault="00000000" w:rsidRPr="00000000" w14:paraId="0000004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16,500.00</w:t>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2e8f0" w:val="clear"/>
            <w:tcMar>
              <w:top w:w="120.0" w:type="dxa"/>
              <w:left w:w="150.0" w:type="dxa"/>
              <w:bottom w:w="120.0" w:type="dxa"/>
              <w:right w:w="150.0" w:type="dxa"/>
            </w:tcMar>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COSTO TOTAL DEL PROYECTO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2e8f0" w:val="clear"/>
            <w:tcMar>
              <w:top w:w="120.0" w:type="dxa"/>
              <w:left w:w="150.0" w:type="dxa"/>
              <w:bottom w:w="120.0" w:type="dxa"/>
              <w:right w:w="150.0" w:type="dxa"/>
            </w:tcMar>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Inversión total requerida para el desarrollo del activo digital funcional.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2e8f0" w:val="clear"/>
            <w:tcMar>
              <w:top w:w="120.0" w:type="dxa"/>
              <w:left w:w="150.0" w:type="dxa"/>
              <w:bottom w:w="120.0" w:type="dxa"/>
              <w:right w:w="150.0" w:type="dxa"/>
            </w:tcMar>
          </w:tcPr>
          <w:p w:rsidR="00000000" w:rsidDel="00000000" w:rsidP="00000000" w:rsidRDefault="00000000" w:rsidRPr="00000000" w14:paraId="00000046">
            <w:pPr>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181,500.00</w:t>
            </w:r>
            <w:r w:rsidDel="00000000" w:rsidR="00000000" w:rsidRPr="00000000">
              <w:rPr>
                <w:rtl w:val="0"/>
              </w:rPr>
            </w:r>
          </w:p>
        </w:tc>
      </w:tr>
    </w:tbl>
    <w:p w:rsidR="00000000" w:rsidDel="00000000" w:rsidP="00000000" w:rsidRDefault="00000000" w:rsidRPr="00000000" w14:paraId="00000047">
      <w:pPr>
        <w:spacing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pStyle w:val="Heading1"/>
        <w:keepNext w:val="1"/>
        <w:spacing w:after="120" w:before="360" w:lineRule="auto"/>
        <w:rPr>
          <w:rFonts w:ascii="Arial" w:cs="Arial" w:eastAsia="Arial" w:hAnsi="Arial"/>
          <w:color w:val="000000"/>
        </w:rPr>
      </w:pPr>
      <w:bookmarkStart w:colFirst="0" w:colLast="0" w:name="_pe410edjm53b" w:id="9"/>
      <w:bookmarkEnd w:id="9"/>
      <w:r w:rsidDel="00000000" w:rsidR="00000000" w:rsidRPr="00000000">
        <w:rPr>
          <w:rFonts w:ascii="Arial" w:cs="Arial" w:eastAsia="Arial" w:hAnsi="Arial"/>
          <w:b w:val="1"/>
          <w:bCs w:val="1"/>
          <w:color w:val="000000"/>
          <w:rtl w:val="0"/>
        </w:rPr>
        <w:t xml:space="preserve">5. Conclusión y Justificación Financiera</w:t>
      </w:r>
      <w:r w:rsidDel="00000000" w:rsidR="00000000" w:rsidRPr="00000000">
        <w:rPr>
          <w:rtl w:val="0"/>
        </w:rPr>
      </w:r>
    </w:p>
    <w:p w:rsidR="00000000" w:rsidDel="00000000" w:rsidP="00000000" w:rsidRDefault="00000000" w:rsidRPr="00000000" w14:paraId="00000049">
      <w:pPr>
        <w:spacing w:after="120" w:line="3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presupuesto total consolidado de RD$181,500.00 guarda una estricta relación y coherencia con el alcance del proyecto planteado. Desarrollar una plataforma informática personalizada capaz de controlar simultáneamente flujos de servicios automotrices y operaciones de hospitalidad requiere un esfuerzo real de arquitectura y codificación. Esta inversión se justifica plenamente ya que el software dejará de ser un gasto hundido para transformarse en un activo operativo que automatizará los procesos del negocio, mitigará los errores humanos de facturación y potenciará las ventas cruzadas en la cafetería climatizada. Por ende, la inversión inicial se recuperará en el corto-mediano plazo mediante la optimización del negocio y el aumento del valor percibido por el cliente final.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