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rPr>
          <w:rFonts w:ascii="Calibri" w:cs="Calibri" w:eastAsia="Calibri" w:hAnsi="Calibri"/>
        </w:rPr>
        <w:t xml:space="preserve"> </w:t>
      </w:r>
    </w:p>
    <w:p>
      <w:pPr>
        <w:spacing w:after="200"/>
        <w:jc w:val="center"/>
      </w:pPr>
      <w:r>
        <w:rPr>
          <w:rFonts w:ascii="Calibri" w:cs="Calibri" w:eastAsia="Calibri" w:hAnsi="Calibri"/>
          <w:b/>
          <w:bCs/>
          <w:color w:val="2E75B6"/>
          <w:sz w:val="36"/>
          <w:szCs w:val="36"/>
        </w:rPr>
        <w:t xml:space="preserve">ARHIAX v11.4</w:t>
      </w:r>
    </w:p>
    <w:p>
      <w:pPr>
        <w:spacing w:after="240"/>
        <w:jc w:val="center"/>
      </w:pPr>
      <w:r>
        <w:rPr>
          <w:rFonts w:ascii="Calibri" w:cs="Calibri" w:eastAsia="Calibri" w:hAnsi="Calibri"/>
          <w:b/>
          <w:bCs/>
          <w:color w:val="1F3864"/>
          <w:sz w:val="56"/>
          <w:szCs w:val="56"/>
        </w:rPr>
        <w:t xml:space="preserve">Changelog v11.3 → v11.4</w:t>
      </w:r>
    </w:p>
    <w:p>
      <w:pPr>
        <w:spacing w:after="2400"/>
        <w:jc w:val="center"/>
      </w:pPr>
      <w:r>
        <w:rPr>
          <w:rFonts w:ascii="Calibri" w:cs="Calibri" w:eastAsia="Calibri" w:hAnsi="Calibri"/>
          <w:i/>
          <w:iCs/>
          <w:color w:val="595959"/>
          <w:sz w:val="28"/>
          <w:szCs w:val="28"/>
        </w:rPr>
        <w:t xml:space="preserve">Formal Incremental Release Notes with Evidence Traceability</w:t>
      </w:r>
    </w:p>
    <w:p>
      <w:pPr>
        <w:spacing w:after="120"/>
        <w:jc w:val="center"/>
      </w:pPr>
      <w:r>
        <w:rPr>
          <w:rFonts w:ascii="Calibri" w:cs="Calibri" w:eastAsia="Calibri" w:hAnsi="Calibri"/>
          <w:color w:val="262626"/>
          <w:sz w:val="22"/>
          <w:szCs w:val="22"/>
        </w:rPr>
        <w:t xml:space="preserve">Document ID: ARHIAX-v114-CHG-001</w:t>
      </w:r>
    </w:p>
    <w:p>
      <w:pPr>
        <w:spacing w:after="120"/>
        <w:jc w:val="center"/>
      </w:pPr>
      <w:r>
        <w:rPr>
          <w:rFonts w:ascii="Calibri" w:cs="Calibri" w:eastAsia="Calibri" w:hAnsi="Calibri"/>
          <w:color w:val="262626"/>
          <w:sz w:val="22"/>
          <w:szCs w:val="22"/>
        </w:rPr>
        <w:t xml:space="preserve">Version: v1.0  ·  Date: 2026-04-07</w:t>
      </w:r>
    </w:p>
    <w:p>
      <w:pPr>
        <w:spacing w:after="120"/>
        <w:jc w:val="center"/>
      </w:pPr>
      <w:r>
        <w:rPr>
          <w:rFonts w:ascii="Calibri" w:cs="Calibri" w:eastAsia="Calibri" w:hAnsi="Calibri"/>
          <w:color w:val="262626"/>
          <w:sz w:val="22"/>
          <w:szCs w:val="22"/>
        </w:rPr>
        <w:t xml:space="preserve">Sinergia Consulting Group S.A.S.  ·  Barranquilla, Colombia</w:t>
      </w:r>
    </w:p>
    <w:p>
      <w:pPr>
        <w:spacing w:after="120"/>
        <w:jc w:val="center"/>
      </w:pPr>
      <w:r>
        <w:rPr>
          <w:rFonts w:ascii="Calibri" w:cs="Calibri" w:eastAsia="Calibri" w:hAnsi="Calibri"/>
          <w:b/>
          <w:bCs/>
          <w:color w:val="C55A11"/>
          <w:sz w:val="20"/>
          <w:szCs w:val="20"/>
        </w:rPr>
        <w:t xml:space="preserve">INTERNO · CONFIDENCIAL</w:t>
      </w:r>
    </w:p>
    <w:p>
      <w:r>
        <w:br w:type="page"/>
      </w:r>
    </w:p>
    <w:p>
      <w:pPr>
        <w:pStyle w:val="Heading1"/>
        <w:spacing w:after="180" w:before="360"/>
      </w:pPr>
      <w:r>
        <w:rPr>
          <w:rFonts w:ascii="Calibri" w:cs="Calibri" w:eastAsia="Calibri" w:hAnsi="Calibri"/>
          <w:b/>
          <w:bCs/>
          <w:color w:val="1F3864"/>
          <w:sz w:val="32"/>
          <w:szCs w:val="32"/>
        </w:rPr>
        <w:t xml:space="preserve">1. Purpose and Scope of This Changelog</w:t>
      </w:r>
    </w:p>
    <w:p>
      <w:pPr>
        <w:spacing w:after="140" w:line="300"/>
        <w:jc w:val="both"/>
      </w:pPr>
      <w:r>
        <w:rPr>
          <w:rFonts w:ascii="Calibri" w:cs="Calibri" w:eastAsia="Calibri" w:hAnsi="Calibri"/>
          <w:color w:val="262626"/>
          <w:sz w:val="22"/>
          <w:szCs w:val="22"/>
        </w:rPr>
        <w:t xml:space="preserve">This document is the formal release changelog from ARHIA v11.3 to ARHIAX v11.4. It is the audit-grade record of every substantive change in the framework between the two releases, organized around the four planning axes that drove the v11.4 evolution. Each axis is reported as HONORED, HONORED AND EXCEEDED, or PARTIALLY HONORED, with concrete evidence pointing to the artifact in the v11.4 package where the change is materialized.</w:t>
      </w:r>
    </w:p>
    <w:p>
      <w:pPr>
        <w:spacing w:after="140" w:line="300"/>
        <w:jc w:val="both"/>
      </w:pPr>
      <w:r>
        <w:rPr>
          <w:rFonts w:ascii="Calibri" w:cs="Calibri" w:eastAsia="Calibri" w:hAnsi="Calibri"/>
          <w:color w:val="262626"/>
          <w:sz w:val="22"/>
          <w:szCs w:val="22"/>
        </w:rPr>
        <w:t xml:space="preserve">The changelog is companion to the Remediation Traceability Matrix (RTM), which documents the lineage from v11.1 to v11.4 across all controls. Where the RTM answers "what happened to each control between v11.1 and v11.4", this changelog answers "what changed at the architectural and strategic level between v11.3 and v11.4, and where is the evidence". Both documents together constitute the complete audit trail for the v11.4 release.</w:t>
      </w:r>
    </w:p>
    <w:p>
      <w:pPr>
        <w:spacing w:after="120"/>
      </w:pPr>
      <w:r>
        <w:rPr>
          <w:rFonts w:ascii="Calibri" w:cs="Calibri" w:eastAsia="Calibri" w:hAnsi="Calibri"/>
        </w:rPr>
        <w:t xml:space="preserve"> </w:t>
      </w:r>
    </w:p>
    <w:tbl>
      <w:tblPr>
        <w:tblW w:type="pct" w:w="100%"/>
        <w:tblBorders>
          <w:top w:val="single" w:color="1F3864" w:sz="12"/>
          <w:left w:val="single" w:color="1F3864" w:sz="12"/>
          <w:bottom w:val="single" w:color="1F3864" w:sz="12"/>
          <w:right w:val="single" w:color="1F3864" w:sz="12"/>
          <w:insideH w:val="none"/>
          <w:insideV w:val="none"/>
        </w:tblBorders>
      </w:tblPr>
      <w:tblGrid>
        <w:gridCol w:w="100"/>
      </w:tblGrid>
      <w:tr>
        <w:tc>
          <w:tcPr>
            <w:shd w:fill="DEEB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Source of truth</w:t>
            </w:r>
          </w:p>
          <w:p>
            <w:r>
              <w:rPr>
                <w:rFonts w:ascii="Calibri" w:cs="Calibri" w:eastAsia="Calibri" w:hAnsi="Calibri"/>
                <w:color w:val="262626"/>
                <w:sz w:val="20"/>
                <w:szCs w:val="20"/>
              </w:rPr>
              <w:t xml:space="preserve">The four axes in this changelog are reproduced verbatim from the original v11.3 → v11.4 planning document written by the CEO in early 2026. Each axis is then evaluated against the actual v11.4 package delivered in Capas 1–4, producing a verdict and an evidence pointer. The methodology is intentionally simple: plan → delivery → verdict → evidence.</w:t>
            </w:r>
          </w:p>
        </w:tc>
      </w:tr>
    </w:tbl>
    <w:p>
      <w:r>
        <w:br w:type="page"/>
      </w:r>
    </w:p>
    <w:p>
      <w:pPr>
        <w:pStyle w:val="Heading1"/>
        <w:spacing w:after="180" w:before="360"/>
      </w:pPr>
      <w:r>
        <w:rPr>
          <w:rFonts w:ascii="Calibri" w:cs="Calibri" w:eastAsia="Calibri" w:hAnsi="Calibri"/>
          <w:b/>
          <w:bCs/>
          <w:color w:val="1F3864"/>
          <w:sz w:val="32"/>
          <w:szCs w:val="32"/>
        </w:rPr>
        <w:t xml:space="preserve">2. Version Identification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5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Attribute</w:t>
            </w:r>
          </w:p>
        </w:tc>
        <w:tc>
          <w:tcPr>
            <w:tcW w:type="dxa" w:w="42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v11.3 baseline</w:t>
            </w:r>
          </w:p>
        </w:tc>
        <w:tc>
          <w:tcPr>
            <w:tcW w:type="dxa" w:w="42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v11.4 delivered</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Release name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ARHIA v11.3</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ARHIAX v11.4 (rebrand)</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Release date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Q1 2026</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April 2026</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Spec anchor documents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TR-2026-028 (Architecture v11.3)</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TR-2026-034 MasterSpec + TR-2026-033 Phase3 TechExt</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Governance controls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Informal set (~47 controls)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36 formal auditable controls with ARISE 4-question format</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Policy bundles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Conceptual (not executable)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19 executable OPA/Rego bundles (B01–B19)</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External frameworks integrated</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CSA ATF, NIST CSF, ARISE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9 frameworks: CSA ATF, NIST CSF 2.0, ARISE, OWASP Agentic Top 10, MAESTRO, Singapore MGF, KPMG TACO, McKinsey RAI, NVIDIA</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Crosswalk granularity</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Plane-level (3 planes)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Control-level (per-control to 5 frameworks)</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D-TCG module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D-TCG base (single-domain)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D-TCG+ with Cross-Domain Correlation Engine + Behavioral Baseline Registry</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Runtime implementation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Reference sketch</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Production-grade: 4,300 LoC Python + 2,323 LoC Rego + 254 tests verdes</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Deployment posture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Conceptual</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Helm chart + 3 pilot values files + CI/CD pipeline + hardened clients</w:t>
            </w:r>
          </w:p>
        </w:tc>
      </w:tr>
      <w:tr>
        <w:tc>
          <w:tcPr>
            <w:tcW w:type="dxa" w:w="2000"/>
            <w:tcMar>
              <w:top w:type="dxa" w:w="100"/>
              <w:left w:type="dxa" w:w="120"/>
              <w:bottom w:type="dxa" w:w="100"/>
              <w:right w:type="dxa" w:w="120"/>
            </w:tcMar>
          </w:tcPr>
          <w:p>
            <w:pPr>
              <w:spacing w:after="40"/>
              <w:jc w:val="left"/>
            </w:pPr>
            <w:r>
              <w:rPr>
                <w:rFonts w:ascii="Calibri" w:cs="Calibri" w:eastAsia="Calibri" w:hAnsi="Calibri"/>
                <w:b/>
                <w:bCs/>
                <w:color w:val="262626"/>
                <w:sz w:val="20"/>
                <w:szCs w:val="20"/>
              </w:rPr>
              <w:t xml:space="preserve">Positioning</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Agentic governance framework</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Policy-executable governance runtime, ARISE-compatible, NIST CSF-aligned</w:t>
            </w:r>
          </w:p>
        </w:tc>
      </w:tr>
    </w:tbl>
    <w:p>
      <w:r>
        <w:br w:type="page"/>
      </w:r>
    </w:p>
    <w:p>
      <w:pPr>
        <w:pStyle w:val="Heading1"/>
        <w:spacing w:after="180" w:before="360"/>
      </w:pPr>
      <w:r>
        <w:rPr>
          <w:rFonts w:ascii="Calibri" w:cs="Calibri" w:eastAsia="Calibri" w:hAnsi="Calibri"/>
          <w:b/>
          <w:bCs/>
          <w:color w:val="1F3864"/>
          <w:sz w:val="32"/>
          <w:szCs w:val="32"/>
        </w:rPr>
        <w:t xml:space="preserve">3. Axis 1 — Auditable Control Taxonomy (ARISE-inspired)</w:t>
      </w:r>
    </w:p>
    <w:p>
      <w:pPr>
        <w:pStyle w:val="Heading2"/>
        <w:spacing w:after="140" w:before="280"/>
      </w:pPr>
      <w:r>
        <w:rPr>
          <w:rFonts w:ascii="Calibri" w:cs="Calibri" w:eastAsia="Calibri" w:hAnsi="Calibri"/>
          <w:b/>
          <w:bCs/>
          <w:color w:val="2E75B6"/>
          <w:sz w:val="26"/>
          <w:szCs w:val="26"/>
        </w:rPr>
        <w:t xml:space="preserve">3.1. Original plan statement</w:t>
      </w:r>
    </w:p>
    <w:tbl>
      <w:tblPr>
        <w:tblW w:type="pct" w:w="100%"/>
        <w:tblBorders>
          <w:top w:val="single" w:color="1F3864" w:sz="12"/>
          <w:left w:val="single" w:color="1F3864" w:sz="12"/>
          <w:bottom w:val="single" w:color="1F3864" w:sz="12"/>
          <w:right w:val="single" w:color="1F3864" w:sz="12"/>
          <w:insideH w:val="none"/>
          <w:insideV w:val="none"/>
        </w:tblBorders>
      </w:tblPr>
      <w:tblGrid>
        <w:gridCol w:w="100"/>
      </w:tblGrid>
      <w:tr>
        <w:tc>
          <w:tcPr>
            <w:shd w:fill="DEEB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Verbatim from v11.3 → v11.4 plan</w:t>
            </w:r>
          </w:p>
          <w:p>
            <w:r>
              <w:rPr>
                <w:rFonts w:ascii="Calibri" w:cs="Calibri" w:eastAsia="Calibri" w:hAnsi="Calibri"/>
                <w:color w:val="262626"/>
                <w:sz w:val="20"/>
                <w:szCs w:val="20"/>
              </w:rPr>
              <w:t xml:space="preserve">Map each ARHIA component (ATK checks, HIC-1 to HIC-5, D-TCG, AIBOM, A0-A4 autonomy scale) to discrete controls with the four ARISE questions: what is implemented, who is responsible, what evidence is generated, how often it is validated. Produce a numbered control registry (e.g. ATK-C01, DTG-C01, etc.). Convert ARHIA from "technical architecture" to "auditable architecture".</w:t>
            </w:r>
          </w:p>
        </w:tc>
      </w:tr>
    </w:tbl>
    <w:p>
      <w:pPr>
        <w:pStyle w:val="Heading2"/>
        <w:spacing w:after="140" w:before="280"/>
      </w:pPr>
      <w:r>
        <w:rPr>
          <w:rFonts w:ascii="Calibri" w:cs="Calibri" w:eastAsia="Calibri" w:hAnsi="Calibri"/>
          <w:b/>
          <w:bCs/>
          <w:color w:val="2E75B6"/>
          <w:sz w:val="26"/>
          <w:szCs w:val="26"/>
        </w:rPr>
        <w:t xml:space="preserve">3.2. Delivery verdict: HONORED</w:t>
      </w:r>
    </w:p>
    <w:p>
      <w:pPr>
        <w:spacing w:after="140" w:line="300"/>
        <w:jc w:val="both"/>
      </w:pPr>
      <w:r>
        <w:rPr>
          <w:rFonts w:ascii="Calibri" w:cs="Calibri" w:eastAsia="Calibri" w:hAnsi="Calibri"/>
          <w:color w:val="262626"/>
          <w:sz w:val="22"/>
          <w:szCs w:val="22"/>
        </w:rPr>
        <w:t xml:space="preserve">The v11.4 package delivers the full auditable control taxonomy exactly as planned. The 36-control registry is materialized in the document ARHIAX_v114_36_Controles_Gobernanza_MultiAgente.docx (Capa 1, Deliverable 3). Each control carries a unique ID from a coherent namespace, and each answers the four ARISE questions in a structured format.</w:t>
      </w:r>
    </w:p>
    <w:p>
      <w:pPr>
        <w:pStyle w:val="Heading2"/>
        <w:spacing w:after="140" w:before="280"/>
      </w:pPr>
      <w:r>
        <w:rPr>
          <w:rFonts w:ascii="Calibri" w:cs="Calibri" w:eastAsia="Calibri" w:hAnsi="Calibri"/>
          <w:b/>
          <w:bCs/>
          <w:color w:val="2E75B6"/>
          <w:sz w:val="26"/>
          <w:szCs w:val="26"/>
        </w:rPr>
        <w:t xml:space="preserve">3.3. Evidence of honoring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Component family</w:t>
            </w:r>
          </w:p>
        </w:tc>
        <w:tc>
          <w:tcPr>
            <w:tcW w:type="dxa" w:w="35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Planned in v11.3→v11.4</w:t>
            </w:r>
          </w:p>
        </w:tc>
        <w:tc>
          <w:tcPr>
            <w:tcW w:type="dxa" w:w="35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Delivered in v11.4</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ATK (Agentic Trust Kernel)</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Map ATK checks to discrete controls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7 controls: ATK-C01..C07 covering envelope validation, identity resolution, policy evaluation, autonomy enforcement, evidence generation, fail-mode handling, startup attestation</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HIC (Human-in-the-Loop)</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Map HIC-1..HIC-5 to discrete controls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5 controls: HIC-C01..C05 for escalation levels, ticket creation, response time, decision capture, post-incident review</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D-TCG+</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Map D-TCG to discrete controls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5 controls: DTG-C01..C05 for single-domain baseline, cross-domain correlation, transition validation, anomaly scoring, playbook execution</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AIBOM</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Map AIBOM to discrete controls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3 controls: ABO-C01..C03 for component inventory, supply chain verification, lifecycle state management</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Autonomy (A0–A4)</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Map autonomy scale to discrete controls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5 controls: AUT-C01..C05 for promotion gates, demotion triggers, periodic requalification, cross-framework mapping, autonomy ceiling enforcement</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AIM (Agent Identity) — NEW in v11.4</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(Not in original plan)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3 controls: AIM-C01..C03 for NHI-compatible credential issuance, 4-layer composite identity chain, credential revocation</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POL (Policy governance) — NEW in v11.4</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(Not in original plan)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4 controls: POL-C01..C04 for change management, version control, approval workflow, policy audit trail</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DAT (Data governance) — NEW in v11.4</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(Not in original plan)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4 controls: DAT-C01..C04 for residency enforcement, PII detection, encryption at rest and transit, retention management</w:t>
            </w:r>
          </w:p>
        </w:tc>
      </w:tr>
    </w:tbl>
    <w:p>
      <w:pPr>
        <w:spacing w:after="120"/>
      </w:pPr>
      <w:r>
        <w:rPr>
          <w:rFonts w:ascii="Calibri" w:cs="Calibri" w:eastAsia="Calibri" w:hAnsi="Calibri"/>
        </w:rPr>
        <w:t xml:space="preserve"> </w:t>
      </w:r>
    </w:p>
    <w:p>
      <w:pPr>
        <w:spacing w:after="140" w:line="300"/>
        <w:jc w:val="both"/>
      </w:pPr>
      <w:r>
        <w:rPr>
          <w:rFonts w:ascii="Calibri" w:cs="Calibri" w:eastAsia="Calibri" w:hAnsi="Calibri"/>
          <w:color w:val="262626"/>
          <w:sz w:val="22"/>
          <w:szCs w:val="22"/>
        </w:rPr>
        <w:t xml:space="preserve">Total: 36 controls. The v11.4 package adds three control families (AIM, POL, DAT) that were not explicitly in the original plan but emerged as necessary during implementation to close gaps identified in the integration with the 9 external frameworks. These additions are net-positive scope expansion and are documented in the RTM as NEW dispositions.</w:t>
      </w:r>
    </w:p>
    <w:p>
      <w:pPr>
        <w:pStyle w:val="Heading2"/>
        <w:spacing w:after="140" w:before="280"/>
      </w:pPr>
      <w:r>
        <w:rPr>
          <w:rFonts w:ascii="Calibri" w:cs="Calibri" w:eastAsia="Calibri" w:hAnsi="Calibri"/>
          <w:b/>
          <w:bCs/>
          <w:color w:val="2E75B6"/>
          <w:sz w:val="26"/>
          <w:szCs w:val="26"/>
        </w:rPr>
        <w:t xml:space="preserve">3.4. ARISE 4-question compliance verification</w:t>
      </w:r>
    </w:p>
    <w:p>
      <w:pPr>
        <w:spacing w:after="140" w:line="300"/>
        <w:jc w:val="both"/>
      </w:pPr>
      <w:r>
        <w:rPr>
          <w:rFonts w:ascii="Calibri" w:cs="Calibri" w:eastAsia="Calibri" w:hAnsi="Calibri"/>
          <w:color w:val="262626"/>
          <w:sz w:val="22"/>
          <w:szCs w:val="22"/>
        </w:rPr>
        <w:t xml:space="preserve">Every one of the 36 controls in the registry answers the four ARISE questions in a structured format: what is implemented, who is responsible, what evidence is generated, how often it is validated. A sample verification across 8 controls (one per family) was performed and all 8 passed. The full verification report is available in the 36-control registry document, Capa 1.</w:t>
      </w:r>
    </w:p>
    <w:p>
      <w:r>
        <w:br w:type="page"/>
      </w:r>
    </w:p>
    <w:p>
      <w:pPr>
        <w:pStyle w:val="Heading1"/>
        <w:spacing w:after="180" w:before="360"/>
      </w:pPr>
      <w:r>
        <w:rPr>
          <w:rFonts w:ascii="Calibri" w:cs="Calibri" w:eastAsia="Calibri" w:hAnsi="Calibri"/>
          <w:b/>
          <w:bCs/>
          <w:color w:val="1F3864"/>
          <w:sz w:val="32"/>
          <w:szCs w:val="32"/>
        </w:rPr>
        <w:t xml:space="preserve">4. Axis 2 — Triple Crosswalk (ARHIA × ARISE × NIST CSF)</w:t>
      </w:r>
    </w:p>
    <w:p>
      <w:pPr>
        <w:pStyle w:val="Heading2"/>
        <w:spacing w:after="140" w:before="280"/>
      </w:pPr>
      <w:r>
        <w:rPr>
          <w:rFonts w:ascii="Calibri" w:cs="Calibri" w:eastAsia="Calibri" w:hAnsi="Calibri"/>
          <w:b/>
          <w:bCs/>
          <w:color w:val="2E75B6"/>
          <w:sz w:val="26"/>
          <w:szCs w:val="26"/>
        </w:rPr>
        <w:t xml:space="preserve">4.1. Original plan statement</w:t>
      </w:r>
    </w:p>
    <w:tbl>
      <w:tblPr>
        <w:tblW w:type="pct" w:w="100%"/>
        <w:tblBorders>
          <w:top w:val="single" w:color="1F3864" w:sz="12"/>
          <w:left w:val="single" w:color="1F3864" w:sz="12"/>
          <w:bottom w:val="single" w:color="1F3864" w:sz="12"/>
          <w:right w:val="single" w:color="1F3864" w:sz="12"/>
          <w:insideH w:val="none"/>
          <w:insideV w:val="none"/>
        </w:tblBorders>
      </w:tblPr>
      <w:tblGrid>
        <w:gridCol w:w="100"/>
      </w:tblGrid>
      <w:tr>
        <w:tc>
          <w:tcPr>
            <w:shd w:fill="DEEB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Verbatim from v11.3 → v11.4 plan</w:t>
            </w:r>
          </w:p>
          <w:p>
            <w:r>
              <w:rPr>
                <w:rFonts w:ascii="Calibri" w:cs="Calibri" w:eastAsia="Calibri" w:hAnsi="Calibri"/>
                <w:color w:val="262626"/>
                <w:sz w:val="20"/>
                <w:szCs w:val="20"/>
              </w:rPr>
              <w:t xml:space="preserve">Map the three ARHIA planes (Trust, Control, Execution) against the seven ARISE domains (GOVERN, MANAGE, IDENTIFY, PROTECT, DETECT, RESPOND, VALIDATE). Simultaneously map against NIST CSF 2.0. Result: a triple-crosswalk table that allows saying "ARISE/NIST defines the what, ARHIA executes the how".</w:t>
            </w:r>
          </w:p>
        </w:tc>
      </w:tr>
    </w:tbl>
    <w:p>
      <w:pPr>
        <w:pStyle w:val="Heading2"/>
        <w:spacing w:after="140" w:before="280"/>
      </w:pPr>
      <w:r>
        <w:rPr>
          <w:rFonts w:ascii="Calibri" w:cs="Calibri" w:eastAsia="Calibri" w:hAnsi="Calibri"/>
          <w:b/>
          <w:bCs/>
          <w:color w:val="2E75B6"/>
          <w:sz w:val="26"/>
          <w:szCs w:val="26"/>
        </w:rPr>
        <w:t xml:space="preserve">4.2. Delivery verdict: HONORED AND EXCEEDED</w:t>
      </w:r>
    </w:p>
    <w:p>
      <w:pPr>
        <w:spacing w:after="140" w:line="300"/>
        <w:jc w:val="both"/>
      </w:pPr>
      <w:r>
        <w:rPr>
          <w:rFonts w:ascii="Calibri" w:cs="Calibri" w:eastAsia="Calibri" w:hAnsi="Calibri"/>
          <w:color w:val="262626"/>
          <w:sz w:val="22"/>
          <w:szCs w:val="22"/>
        </w:rPr>
        <w:t xml:space="preserve">The v11.4 package delivers the triple crosswalk at a granularity substantially finer than the original plan. The plan specified crosswalk at the plane level (3 planes × 7 ARISE domains × NIST CSF functions). The delivery provides crosswalk at the control level: each of the 36 controls carries a crosswalks field with mappings to ARISE, OWASP Agentic Top 10, CSA ATF, Singapore MGF, and NIST CSF 2.0 — five frameworks instead of the two originally planned, and per-control instead of per-plane.</w:t>
      </w:r>
    </w:p>
    <w:p>
      <w:pPr>
        <w:pStyle w:val="Heading2"/>
        <w:spacing w:after="140" w:before="280"/>
      </w:pPr>
      <w:r>
        <w:rPr>
          <w:rFonts w:ascii="Calibri" w:cs="Calibri" w:eastAsia="Calibri" w:hAnsi="Calibri"/>
          <w:b/>
          <w:bCs/>
          <w:color w:val="2E75B6"/>
          <w:sz w:val="26"/>
          <w:szCs w:val="26"/>
        </w:rPr>
        <w:t xml:space="preserve">4.3. Evidence of exceeding</w:t>
      </w:r>
    </w:p>
    <w:p>
      <w:pPr>
        <w:spacing w:after="140" w:line="300"/>
        <w:jc w:val="both"/>
      </w:pPr>
      <w:r>
        <w:rPr>
          <w:rFonts w:ascii="Calibri" w:cs="Calibri" w:eastAsia="Calibri" w:hAnsi="Calibri"/>
          <w:color w:val="262626"/>
          <w:sz w:val="22"/>
          <w:szCs w:val="22"/>
        </w:rPr>
        <w:t xml:space="preserve">The control registry document (Capa 1) contains the full crosswalk table. As illustrative example, the record for control AIM-C01 (NHI-Compatible Credential Issuance) carries the following crosswalk entries: ARISE → IDENTIFY, OWASP → ASI-03, CSA ATF → E1, Singapore MGF → Dimension 2, NIST CSF 2.0 → PR. This pattern is repeated consistently for all 36 controls. The Master Architecture v11.4 document further declares five complete crosswalks at the plane level, preserving backward readability for auditors who want the coarser view.</w:t>
      </w:r>
    </w:p>
    <w:p>
      <w:pPr>
        <w:pStyle w:val="Heading2"/>
        <w:spacing w:after="140" w:before="280"/>
      </w:pPr>
      <w:r>
        <w:rPr>
          <w:rFonts w:ascii="Calibri" w:cs="Calibri" w:eastAsia="Calibri" w:hAnsi="Calibri"/>
          <w:b/>
          <w:bCs/>
          <w:color w:val="2E75B6"/>
          <w:sz w:val="26"/>
          <w:szCs w:val="26"/>
        </w:rPr>
        <w:t xml:space="preserve">4.4. Why this matters for audits</w:t>
      </w:r>
    </w:p>
    <w:p>
      <w:pPr>
        <w:pStyle w:val="ListParagraph"/>
        <w:numPr>
          <w:ilvl w:val="0"/>
          <w:numId w:val="1"/>
        </w:numPr>
        <w:spacing w:after="80"/>
      </w:pPr>
      <w:r>
        <w:rPr>
          <w:rFonts w:ascii="Calibri" w:cs="Calibri" w:eastAsia="Calibri" w:hAnsi="Calibri"/>
          <w:color w:val="262626"/>
          <w:sz w:val="22"/>
          <w:szCs w:val="22"/>
        </w:rPr>
        <w:t xml:space="preserve">An external auditor using ARISE can verify ARHIAX compliance at the domain level with a single table lookup.</w:t>
      </w:r>
    </w:p>
    <w:p>
      <w:pPr>
        <w:pStyle w:val="ListParagraph"/>
        <w:numPr>
          <w:ilvl w:val="0"/>
          <w:numId w:val="1"/>
        </w:numPr>
        <w:spacing w:after="80"/>
      </w:pPr>
      <w:r>
        <w:rPr>
          <w:rFonts w:ascii="Calibri" w:cs="Calibri" w:eastAsia="Calibri" w:hAnsi="Calibri"/>
          <w:color w:val="262626"/>
          <w:sz w:val="22"/>
          <w:szCs w:val="22"/>
        </w:rPr>
        <w:t xml:space="preserve">An auditor using NIST CSF 2.0 can do the same with a different lookup against the same control registry.</w:t>
      </w:r>
    </w:p>
    <w:p>
      <w:pPr>
        <w:pStyle w:val="ListParagraph"/>
        <w:numPr>
          <w:ilvl w:val="0"/>
          <w:numId w:val="1"/>
        </w:numPr>
        <w:spacing w:after="80"/>
      </w:pPr>
      <w:r>
        <w:rPr>
          <w:rFonts w:ascii="Calibri" w:cs="Calibri" w:eastAsia="Calibri" w:hAnsi="Calibri"/>
          <w:color w:val="262626"/>
          <w:sz w:val="22"/>
          <w:szCs w:val="22"/>
        </w:rPr>
        <w:t xml:space="preserve">An auditor using OWASP Agentic Top 10 or CSA ATF has direct control-level traceability, which is rare in governance frameworks and is a differentiator against competitors.</w:t>
      </w:r>
    </w:p>
    <w:p>
      <w:pPr>
        <w:pStyle w:val="ListParagraph"/>
        <w:numPr>
          <w:ilvl w:val="0"/>
          <w:numId w:val="1"/>
        </w:numPr>
        <w:spacing w:after="80"/>
      </w:pPr>
      <w:r>
        <w:rPr>
          <w:rFonts w:ascii="Calibri" w:cs="Calibri" w:eastAsia="Calibri" w:hAnsi="Calibri"/>
          <w:color w:val="262626"/>
          <w:sz w:val="22"/>
          <w:szCs w:val="22"/>
        </w:rPr>
        <w:t xml:space="preserve">A Singapore MGF assessment maps directly to dimensions 1–6 without requiring re-interpretation.</w:t>
      </w:r>
    </w:p>
    <w:p>
      <w:pPr>
        <w:pStyle w:val="ListParagraph"/>
        <w:numPr>
          <w:ilvl w:val="0"/>
          <w:numId w:val="1"/>
        </w:numPr>
        <w:spacing w:after="80"/>
      </w:pPr>
      <w:r>
        <w:rPr>
          <w:rFonts w:ascii="Calibri" w:cs="Calibri" w:eastAsia="Calibri" w:hAnsi="Calibri"/>
          <w:color w:val="262626"/>
          <w:sz w:val="22"/>
          <w:szCs w:val="22"/>
        </w:rPr>
        <w:t xml:space="preserve">The result is that ARHIAX v11.4 can be audited under any of the 5 frameworks without a custom mapping effort, reducing audit cost and time for enterprises that work under multiple regulatory regimes.</w:t>
      </w:r>
    </w:p>
    <w:p>
      <w:r>
        <w:br w:type="page"/>
      </w:r>
    </w:p>
    <w:p>
      <w:pPr>
        <w:pStyle w:val="Heading1"/>
        <w:spacing w:after="180" w:before="360"/>
      </w:pPr>
      <w:r>
        <w:rPr>
          <w:rFonts w:ascii="Calibri" w:cs="Calibri" w:eastAsia="Calibri" w:hAnsi="Calibri"/>
          <w:b/>
          <w:bCs/>
          <w:color w:val="1F3864"/>
          <w:sz w:val="32"/>
          <w:szCs w:val="32"/>
        </w:rPr>
        <w:t xml:space="preserve">5. Axis 3 — Cross-Domain Correlation in DETECT (D-TCG+ extension)</w:t>
      </w:r>
    </w:p>
    <w:p>
      <w:pPr>
        <w:pStyle w:val="Heading2"/>
        <w:spacing w:after="140" w:before="280"/>
      </w:pPr>
      <w:r>
        <w:rPr>
          <w:rFonts w:ascii="Calibri" w:cs="Calibri" w:eastAsia="Calibri" w:hAnsi="Calibri"/>
          <w:b/>
          <w:bCs/>
          <w:color w:val="2E75B6"/>
          <w:sz w:val="26"/>
          <w:szCs w:val="26"/>
        </w:rPr>
        <w:t xml:space="preserve">5.1. Original plan statement</w:t>
      </w:r>
    </w:p>
    <w:tbl>
      <w:tblPr>
        <w:tblW w:type="pct" w:w="100%"/>
        <w:tblBorders>
          <w:top w:val="single" w:color="1F3864" w:sz="12"/>
          <w:left w:val="single" w:color="1F3864" w:sz="12"/>
          <w:bottom w:val="single" w:color="1F3864" w:sz="12"/>
          <w:right w:val="single" w:color="1F3864" w:sz="12"/>
          <w:insideH w:val="none"/>
          <w:insideV w:val="none"/>
        </w:tblBorders>
      </w:tblPr>
      <w:tblGrid>
        <w:gridCol w:w="100"/>
      </w:tblGrid>
      <w:tr>
        <w:tc>
          <w:tcPr>
            <w:shd w:fill="DEEB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Verbatim from v11.3 → v11.4 plan</w:t>
            </w:r>
          </w:p>
          <w:p>
            <w:r>
              <w:rPr>
                <w:rFonts w:ascii="Calibri" w:cs="Calibri" w:eastAsia="Calibri" w:hAnsi="Calibri"/>
                <w:color w:val="262626"/>
                <w:sz w:val="20"/>
                <w:szCs w:val="20"/>
              </w:rPr>
              <w:t xml:space="preserve">Extend D-TCG with a formal module for cross-domain anomaly correlation (network + prompt + data access). Formalize as a control with baseline, detection method, and response playbook. This closes the only real technical gap that ARISE identifies and ARHIA did not cover.</w:t>
            </w:r>
          </w:p>
        </w:tc>
      </w:tr>
    </w:tbl>
    <w:p>
      <w:pPr>
        <w:pStyle w:val="Heading2"/>
        <w:spacing w:after="140" w:before="280"/>
      </w:pPr>
      <w:r>
        <w:rPr>
          <w:rFonts w:ascii="Calibri" w:cs="Calibri" w:eastAsia="Calibri" w:hAnsi="Calibri"/>
          <w:b/>
          <w:bCs/>
          <w:color w:val="2E75B6"/>
          <w:sz w:val="26"/>
          <w:szCs w:val="26"/>
        </w:rPr>
        <w:t xml:space="preserve">5.2. Delivery verdict: HONORED</w:t>
      </w:r>
    </w:p>
    <w:p>
      <w:pPr>
        <w:spacing w:after="140" w:line="300"/>
        <w:jc w:val="both"/>
      </w:pPr>
      <w:r>
        <w:rPr>
          <w:rFonts w:ascii="Calibri" w:cs="Calibri" w:eastAsia="Calibri" w:hAnsi="Calibri"/>
          <w:color w:val="262626"/>
          <w:sz w:val="22"/>
          <w:szCs w:val="22"/>
        </w:rPr>
        <w:t xml:space="preserve">The v11.4 package delivers D-TCG+ as a fully integrated architectural component and as an executable runtime layer. The conceptual extension is documented in the Master Architecture v11.4 document (§Annex D-TCG+). The runtime is materialized as the Behavioral Baseline Registry (BBR) component plus bundles B03 (prompt injection detection), B06 (cross-agent coordination), and the BBR hardened client that scores behavioral observations across multiple feature domains. The two runtime layers are tied together through the 5-check envelope flow in the ATK service.</w:t>
      </w:r>
    </w:p>
    <w:p>
      <w:pPr>
        <w:pStyle w:val="Heading2"/>
        <w:spacing w:after="140" w:before="280"/>
      </w:pPr>
      <w:r>
        <w:rPr>
          <w:rFonts w:ascii="Calibri" w:cs="Calibri" w:eastAsia="Calibri" w:hAnsi="Calibri"/>
          <w:b/>
          <w:bCs/>
          <w:color w:val="2E75B6"/>
          <w:sz w:val="26"/>
          <w:szCs w:val="26"/>
        </w:rPr>
        <w:t xml:space="preserve">5.3. Evidence of honoring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Plan element</w:t>
            </w:r>
          </w:p>
        </w:tc>
        <w:tc>
          <w:tcPr>
            <w:tcW w:type="dxa" w:w="63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Delivery artifact</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Formal module for cross-domain correlation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D-TCG+ Cross-Domain Correlation Engine documented in Master Architecture v11.4 §Annex D-TCG+. Implemented at runtime through coordinated evaluation of B03, B06, and BBR scoring in the ATK envelope flow.</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Network domain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B06 (cross-agent coordination) evaluates inter-agent traffic patterns and boundary violations. Network-level signals are passed through ATK envelope enrichment.</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Prompt domain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B03 (prompt injection detection) evaluates prompt content against threat intelligence signatures and statistical anomaly patterns.</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Data access domain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B11 (data residency) and B13 (PII detection) provide data-access signals that feed into the cross-domain correlation score.</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Baseline (per plan)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Behavioral Baseline Registry (BBR) stores per-agent behavioral baselines. Scoring function returns anomaly_score, baseline_status, and percentile. Hardened BBR client uses SOFT-FAIL semantics per MasterSpec §7.</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Detection method (per plan)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Two-phase: per-action detection in B03/B06/B11/B13 bundles, then per-transition correlation scoring in BBR. Combined score drives ATK outcome (ALLOW, ALLOW_WITH_MONITORING, DENY_WITH_INCIDENT).</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Response playbook (per plan)</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The response playbooks for cross-domain correlation events are materialized in the Incident Response Runbooks document (Capa 5), with dedicated runbooks for B03 (prompt injection), B06 (cross-agent coordination), and BBR anomaly escalation.</w:t>
            </w:r>
          </w:p>
        </w:tc>
      </w:tr>
    </w:tbl>
    <w:p>
      <w:pPr>
        <w:pStyle w:val="Heading2"/>
        <w:spacing w:after="140" w:before="280"/>
      </w:pPr>
      <w:r>
        <w:rPr>
          <w:rFonts w:ascii="Calibri" w:cs="Calibri" w:eastAsia="Calibri" w:hAnsi="Calibri"/>
          <w:b/>
          <w:bCs/>
          <w:color w:val="2E75B6"/>
          <w:sz w:val="26"/>
          <w:szCs w:val="26"/>
        </w:rPr>
        <w:t xml:space="preserve">5.4. Residual observation</w:t>
      </w:r>
    </w:p>
    <w:p>
      <w:pPr>
        <w:spacing w:after="140" w:line="300"/>
        <w:jc w:val="both"/>
      </w:pPr>
      <w:r>
        <w:rPr>
          <w:rFonts w:ascii="Calibri" w:cs="Calibri" w:eastAsia="Calibri" w:hAnsi="Calibri"/>
          <w:color w:val="262626"/>
          <w:sz w:val="22"/>
          <w:szCs w:val="22"/>
        </w:rPr>
        <w:t xml:space="preserve">At the time of the v11.4 release, the D-TCG+ cross-domain correlation engine has been specified and its runtime components are in place. The behavioral baselines themselves are empty per installation and are populated during the shadow operation phase of each pilot (weeks 3–5 of the Enterprise Pilot Playbook). The v11.5 roadmap includes pre-trained behavioral baselines per vertical (port logistics, fintech, healthcare) as a proposed enterprise-tier feature. This is consistent with the original plan, which specified the detection method but did not require pre-populated baselines as a v11.4 deliverable.</w:t>
      </w:r>
    </w:p>
    <w:p>
      <w:r>
        <w:br w:type="page"/>
      </w:r>
    </w:p>
    <w:p>
      <w:pPr>
        <w:pStyle w:val="Heading1"/>
        <w:spacing w:after="180" w:before="360"/>
      </w:pPr>
      <w:r>
        <w:rPr>
          <w:rFonts w:ascii="Calibri" w:cs="Calibri" w:eastAsia="Calibri" w:hAnsi="Calibri"/>
          <w:b/>
          <w:bCs/>
          <w:color w:val="1F3864"/>
          <w:sz w:val="32"/>
          <w:szCs w:val="32"/>
        </w:rPr>
        <w:t xml:space="preserve">6. Axis 4 — Documentary Consolidation</w:t>
      </w:r>
    </w:p>
    <w:p>
      <w:pPr>
        <w:pStyle w:val="Heading2"/>
        <w:spacing w:after="140" w:before="280"/>
      </w:pPr>
      <w:r>
        <w:rPr>
          <w:rFonts w:ascii="Calibri" w:cs="Calibri" w:eastAsia="Calibri" w:hAnsi="Calibri"/>
          <w:b/>
          <w:bCs/>
          <w:color w:val="2E75B6"/>
          <w:sz w:val="26"/>
          <w:szCs w:val="26"/>
        </w:rPr>
        <w:t xml:space="preserve">6.1. Original plan statement</w:t>
      </w:r>
    </w:p>
    <w:tbl>
      <w:tblPr>
        <w:tblW w:type="pct" w:w="100%"/>
        <w:tblBorders>
          <w:top w:val="single" w:color="1F3864" w:sz="12"/>
          <w:left w:val="single" w:color="1F3864" w:sz="12"/>
          <w:bottom w:val="single" w:color="1F3864" w:sz="12"/>
          <w:right w:val="single" w:color="1F3864" w:sz="12"/>
          <w:insideH w:val="none"/>
          <w:insideV w:val="none"/>
        </w:tblBorders>
      </w:tblPr>
      <w:tblGrid>
        <w:gridCol w:w="100"/>
      </w:tblGrid>
      <w:tr>
        <w:tc>
          <w:tcPr>
            <w:shd w:fill="DEEBF7" w:val="clear"/>
            <w:tcMar>
              <w:top w:type="dxa" w:w="160"/>
              <w:left w:type="dxa" w:w="200"/>
              <w:bottom w:type="dxa" w:w="160"/>
              <w:right w:type="dxa" w:w="200"/>
            </w:tcMar>
          </w:tcPr>
          <w:p>
            <w:pPr>
              <w:spacing w:after="80"/>
            </w:pPr>
            <w:r>
              <w:rPr>
                <w:rFonts w:ascii="Calibri" w:cs="Calibri" w:eastAsia="Calibri" w:hAnsi="Calibri"/>
                <w:b/>
                <w:bCs/>
                <w:color w:val="1F3864"/>
                <w:sz w:val="22"/>
                <w:szCs w:val="22"/>
              </w:rPr>
              <w:t xml:space="preserve">Verbatim from v11.3 → v11.4 plan</w:t>
            </w:r>
          </w:p>
          <w:p>
            <w:r>
              <w:rPr>
                <w:rFonts w:ascii="Calibri" w:cs="Calibri" w:eastAsia="Calibri" w:hAnsi="Calibri"/>
                <w:color w:val="262626"/>
                <w:sz w:val="20"/>
                <w:szCs w:val="20"/>
              </w:rPr>
              <w:t xml:space="preserve">Master document ARHIA v11.4 integrating all of the above. Formal v11.3 → v11.4 changelog. Positioning update: "Policy-executable governance runtime, ARISE-compatible, NIST CSF-aligned". Deliverable: A McKinsey-quality Word (.docx) document with everything integrated.</w:t>
            </w:r>
          </w:p>
        </w:tc>
      </w:tr>
    </w:tbl>
    <w:p>
      <w:pPr>
        <w:pStyle w:val="Heading2"/>
        <w:spacing w:after="140" w:before="280"/>
      </w:pPr>
      <w:r>
        <w:rPr>
          <w:rFonts w:ascii="Calibri" w:cs="Calibri" w:eastAsia="Calibri" w:hAnsi="Calibri"/>
          <w:b/>
          <w:bCs/>
          <w:color w:val="2E75B6"/>
          <w:sz w:val="26"/>
          <w:szCs w:val="26"/>
        </w:rPr>
        <w:t xml:space="preserve">6.2. Delivery verdict: PARTIALLY HONORED (now closed by this document)</w:t>
      </w:r>
    </w:p>
    <w:p>
      <w:pPr>
        <w:spacing w:after="140" w:line="300"/>
        <w:jc w:val="both"/>
      </w:pPr>
      <w:r>
        <w:rPr>
          <w:rFonts w:ascii="Calibri" w:cs="Calibri" w:eastAsia="Calibri" w:hAnsi="Calibri"/>
          <w:color w:val="262626"/>
          <w:sz w:val="22"/>
          <w:szCs w:val="22"/>
        </w:rPr>
        <w:t xml:space="preserve">The v11.4 package delivers the master document (the Master Architecture v11.4), the positioning update (materialized in the Whitepaper v11.4 with the "arms dealer neutral" positioning line plus the policy-executable governance runtime framing), and the full McKinsey-quality artifact package at Capa 1. The only element of Axis 4 that was partially honored at the time of the original v11.4 release was the incremental v11.3 → v11.4 changelog itself — the RTM that was produced in Capa 1 provides lineage from v11.1 to v11.4 directly, skipping the v11.3 intermediate as a separate line of reporting.</w:t>
      </w:r>
    </w:p>
    <w:p>
      <w:pPr>
        <w:spacing w:after="140" w:line="300"/>
        <w:jc w:val="both"/>
      </w:pPr>
      <w:r>
        <w:rPr>
          <w:rFonts w:ascii="Calibri" w:cs="Calibri" w:eastAsia="Calibri" w:hAnsi="Calibri"/>
          <w:color w:val="262626"/>
          <w:sz w:val="22"/>
          <w:szCs w:val="22"/>
        </w:rPr>
        <w:t xml:space="preserve">This document, the formal v11.3 → v11.4 Changelog in Capa 5, closes that gap. With this document in place, Axis 4 is fully honored.</w:t>
      </w:r>
    </w:p>
    <w:p>
      <w:pPr>
        <w:pStyle w:val="Heading2"/>
        <w:spacing w:after="140" w:before="280"/>
      </w:pPr>
      <w:r>
        <w:rPr>
          <w:rFonts w:ascii="Calibri" w:cs="Calibri" w:eastAsia="Calibri" w:hAnsi="Calibri"/>
          <w:b/>
          <w:bCs/>
          <w:color w:val="2E75B6"/>
          <w:sz w:val="26"/>
          <w:szCs w:val="26"/>
        </w:rPr>
        <w:t xml:space="preserve">6.3. Evidence of honoring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Plan element</w:t>
            </w:r>
          </w:p>
        </w:tc>
        <w:tc>
          <w:tcPr>
            <w:tcW w:type="dxa" w:w="63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Artifact in v11.4 package</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Master v11.4 document integrating all axes</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ARHIAX_v114_Master_Architecture_EN.docx (Capa 1, Deliverable 1)</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Formal v11.3 → v11.4 changelog</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This document: ARHIAX_v114_Changelog_v113_to_v114.docx (Capa 5, Deliverable 2)</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Positioning update</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ARHIAX_v114_Whitepaper_EN.docx (Capa 1, Deliverable 2). Positioning statement: "Policy-executable governance runtime, ARISE-compatible, NIST CSF 2.0 aligned, deployable in production enterprise environments."</w:t>
            </w:r>
          </w:p>
        </w:tc>
      </w:tr>
      <w:tr>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McKinsey-quality document</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All 7 Capa 1 documents plus the 3 Capa 5 documents are produced to McKinsey/Accenture visual standard: consistent branding, formal heading hierarchy, auditor-grade tables, explicit evidence anchors, no informal prose.</w:t>
            </w:r>
          </w:p>
        </w:tc>
      </w:tr>
    </w:tbl>
    <w:p>
      <w:r>
        <w:br w:type="page"/>
      </w:r>
    </w:p>
    <w:p>
      <w:pPr>
        <w:pStyle w:val="Heading1"/>
        <w:spacing w:after="180" w:before="360"/>
      </w:pPr>
      <w:r>
        <w:rPr>
          <w:rFonts w:ascii="Calibri" w:cs="Calibri" w:eastAsia="Calibri" w:hAnsi="Calibri"/>
          <w:b/>
          <w:bCs/>
          <w:color w:val="1F3864"/>
          <w:sz w:val="32"/>
          <w:szCs w:val="32"/>
        </w:rPr>
        <w:t xml:space="preserve">7. Delivery Beyond the Original Plan</w:t>
      </w:r>
    </w:p>
    <w:p>
      <w:pPr>
        <w:spacing w:after="140" w:line="300"/>
        <w:jc w:val="both"/>
      </w:pPr>
      <w:r>
        <w:rPr>
          <w:rFonts w:ascii="Calibri" w:cs="Calibri" w:eastAsia="Calibri" w:hAnsi="Calibri"/>
          <w:color w:val="262626"/>
          <w:sz w:val="22"/>
          <w:szCs w:val="22"/>
        </w:rPr>
        <w:t xml:space="preserve">The v11.4 package includes substantive scope that was not specified in the original four-axis plan but emerged as necessary during implementation. These additions are documented here for transparency and audit completeness.</w:t>
      </w:r>
    </w:p>
    <w:p>
      <w:pPr>
        <w:pStyle w:val="Heading2"/>
        <w:spacing w:after="140" w:before="280"/>
      </w:pPr>
      <w:r>
        <w:rPr>
          <w:rFonts w:ascii="Calibri" w:cs="Calibri" w:eastAsia="Calibri" w:hAnsi="Calibri"/>
          <w:b/>
          <w:bCs/>
          <w:color w:val="2E75B6"/>
          <w:sz w:val="26"/>
          <w:szCs w:val="26"/>
        </w:rPr>
        <w:t xml:space="preserve">7.1. Additional external frameworks integrated</w:t>
      </w:r>
    </w:p>
    <w:p>
      <w:pPr>
        <w:spacing w:after="140" w:line="300"/>
        <w:jc w:val="both"/>
      </w:pPr>
      <w:r>
        <w:rPr>
          <w:rFonts w:ascii="Calibri" w:cs="Calibri" w:eastAsia="Calibri" w:hAnsi="Calibri"/>
          <w:color w:val="262626"/>
          <w:sz w:val="22"/>
          <w:szCs w:val="22"/>
        </w:rPr>
        <w:t xml:space="preserve">The original plan specified ARISE and NIST CSF as the target framework integrations. The v11.4 delivery integrated nine frameworks: ARISE, NIST CSF 2.0, CSA ATF, OWASP Agentic Top 10, MAESTRO, Singapore MGF, KPMG TACO, McKinsey Responsible AI, and NVIDIA AI governance guidance. This expansion happened because during implementation it became clear that most enterprise customers work under at least two regulatory regimes simultaneously, and a framework that only mapped to ARISE+NIST would force mapping work on the customer side.</w:t>
      </w:r>
    </w:p>
    <w:p>
      <w:pPr>
        <w:pStyle w:val="Heading2"/>
        <w:spacing w:after="140" w:before="280"/>
      </w:pPr>
      <w:r>
        <w:rPr>
          <w:rFonts w:ascii="Calibri" w:cs="Calibri" w:eastAsia="Calibri" w:hAnsi="Calibri"/>
          <w:b/>
          <w:bCs/>
          <w:color w:val="2E75B6"/>
          <w:sz w:val="26"/>
          <w:szCs w:val="26"/>
        </w:rPr>
        <w:t xml:space="preserve">7.2. Production runtime package</w:t>
      </w:r>
    </w:p>
    <w:p>
      <w:pPr>
        <w:spacing w:after="140" w:line="300"/>
        <w:jc w:val="both"/>
      </w:pPr>
      <w:r>
        <w:rPr>
          <w:rFonts w:ascii="Calibri" w:cs="Calibri" w:eastAsia="Calibri" w:hAnsi="Calibri"/>
          <w:color w:val="262626"/>
          <w:sz w:val="22"/>
          <w:szCs w:val="22"/>
        </w:rPr>
        <w:t xml:space="preserve">The original plan did not specify an executable runtime. The v11.4 delivery includes a complete production runtime: 2,323 lines of Rego implementing 19 policy bundles, 4,300 lines of Python implementing the ATK service, hardened production clients, demo scenarios, and 254 tests (144 pytest + 110 opa test) all verdes. This is a substantial scope expansion that moves ARHIAX from a governance specification to a deployable runtime.</w:t>
      </w:r>
    </w:p>
    <w:p>
      <w:pPr>
        <w:pStyle w:val="Heading2"/>
        <w:spacing w:after="140" w:before="280"/>
      </w:pPr>
      <w:r>
        <w:rPr>
          <w:rFonts w:ascii="Calibri" w:cs="Calibri" w:eastAsia="Calibri" w:hAnsi="Calibri"/>
          <w:b/>
          <w:bCs/>
          <w:color w:val="2E75B6"/>
          <w:sz w:val="26"/>
          <w:szCs w:val="26"/>
        </w:rPr>
        <w:t xml:space="preserve">7.3. Deployment tooling</w:t>
      </w:r>
    </w:p>
    <w:p>
      <w:pPr>
        <w:spacing w:after="140" w:line="300"/>
        <w:jc w:val="both"/>
      </w:pPr>
      <w:r>
        <w:rPr>
          <w:rFonts w:ascii="Calibri" w:cs="Calibri" w:eastAsia="Calibri" w:hAnsi="Calibri"/>
          <w:color w:val="262626"/>
          <w:sz w:val="22"/>
          <w:szCs w:val="22"/>
        </w:rPr>
        <w:t xml:space="preserve">The original plan did not specify deployment artifacts. The v11.4 delivery includes a Helm chart with 17 template files, three pilot-specific values files (SPRBUN, Brasil, HFL), a CI/CD pipeline with 7 jobs in the main workflow and 4 jobs in a nightly audit workflow, and Dockerfiles with multi-stage builds and test gating. This enables enterprises to deploy ARHIAX v11.4 in Kubernetes without custom engineering work.</w:t>
      </w:r>
    </w:p>
    <w:p>
      <w:pPr>
        <w:pStyle w:val="Heading2"/>
        <w:spacing w:after="140" w:before="280"/>
      </w:pPr>
      <w:r>
        <w:rPr>
          <w:rFonts w:ascii="Calibri" w:cs="Calibri" w:eastAsia="Calibri" w:hAnsi="Calibri"/>
          <w:b/>
          <w:bCs/>
          <w:color w:val="2E75B6"/>
          <w:sz w:val="26"/>
          <w:szCs w:val="26"/>
        </w:rPr>
        <w:t xml:space="preserve">7.4. Pilot operationalization</w:t>
      </w:r>
    </w:p>
    <w:p>
      <w:pPr>
        <w:spacing w:after="140" w:line="300"/>
        <w:jc w:val="both"/>
      </w:pPr>
      <w:r>
        <w:rPr>
          <w:rFonts w:ascii="Calibri" w:cs="Calibri" w:eastAsia="Calibri" w:hAnsi="Calibri"/>
          <w:color w:val="262626"/>
          <w:sz w:val="22"/>
          <w:szCs w:val="22"/>
        </w:rPr>
        <w:t xml:space="preserve">The original plan did not specify pilot operationalization. The v11.4 delivery includes an Enterprise Pilot Playbook (Capa 5, Deliverable 1) with RACI, 10-week timeline, 8 metrics, rollback drill script, 85/100 go/no-go scorecard, and evidence package template. This operationalizes ARHIAX for enterprise adoption with a repeatable process.</w:t>
      </w:r>
    </w:p>
    <w:p>
      <w:pPr>
        <w:pStyle w:val="Heading2"/>
        <w:spacing w:after="140" w:before="280"/>
      </w:pPr>
      <w:r>
        <w:rPr>
          <w:rFonts w:ascii="Calibri" w:cs="Calibri" w:eastAsia="Calibri" w:hAnsi="Calibri"/>
          <w:b/>
          <w:bCs/>
          <w:color w:val="2E75B6"/>
          <w:sz w:val="26"/>
          <w:szCs w:val="26"/>
        </w:rPr>
        <w:t xml:space="preserve">7.5. Incident response runbooks</w:t>
      </w:r>
    </w:p>
    <w:p>
      <w:pPr>
        <w:spacing w:after="140" w:line="300"/>
        <w:jc w:val="both"/>
      </w:pPr>
      <w:r>
        <w:rPr>
          <w:rFonts w:ascii="Calibri" w:cs="Calibri" w:eastAsia="Calibri" w:hAnsi="Calibri"/>
          <w:color w:val="262626"/>
          <w:sz w:val="22"/>
          <w:szCs w:val="22"/>
        </w:rPr>
        <w:t xml:space="preserve">The original plan specified response playbooks for the cross-domain correlation axis. The v11.4 delivery includes 19 response runbooks — one per OPA bundle — each with trigger conditions, escalation path, containment steps, investigation procedures, remediation actions, and post-mortem templates. This is a substantial expansion of the response playbook scope from a single cross-domain playbook to full bundle-level coverage.</w:t>
      </w:r>
    </w:p>
    <w:p>
      <w:r>
        <w:br w:type="page"/>
      </w:r>
    </w:p>
    <w:p>
      <w:pPr>
        <w:pStyle w:val="Heading1"/>
        <w:spacing w:after="180" w:before="360"/>
      </w:pPr>
      <w:r>
        <w:rPr>
          <w:rFonts w:ascii="Calibri" w:cs="Calibri" w:eastAsia="Calibri" w:hAnsi="Calibri"/>
          <w:b/>
          <w:bCs/>
          <w:color w:val="1F3864"/>
          <w:sz w:val="32"/>
          <w:szCs w:val="32"/>
        </w:rPr>
        <w:t xml:space="preserve">8. Axes Scorecard</w:t>
      </w:r>
    </w:p>
    <w:p>
      <w:pPr>
        <w:spacing w:after="140" w:line="300"/>
        <w:jc w:val="both"/>
      </w:pPr>
      <w:r>
        <w:rPr>
          <w:rFonts w:ascii="Calibri" w:cs="Calibri" w:eastAsia="Calibri" w:hAnsi="Calibri"/>
          <w:color w:val="262626"/>
          <w:sz w:val="22"/>
          <w:szCs w:val="22"/>
        </w:rPr>
        <w:t xml:space="preserve">Summary of the delivery verdict for each of the four original axes plus the scope-beyond items.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Axis</w:t>
            </w:r>
          </w:p>
        </w:tc>
        <w:tc>
          <w:tcPr>
            <w:tcW w:type="dxa" w:w="34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Name</w:t>
            </w:r>
          </w:p>
        </w:tc>
        <w:tc>
          <w:tcPr>
            <w:tcW w:type="dxa" w:w="24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Verdict</w:t>
            </w:r>
          </w:p>
        </w:tc>
        <w:tc>
          <w:tcPr>
            <w:tcW w:type="dxa" w:w="3100"/>
            <w:shd w:fill="1F3864" w:val="clear"/>
            <w:tcMar>
              <w:top w:type="dxa" w:w="100"/>
              <w:left w:type="dxa" w:w="120"/>
              <w:bottom w:type="dxa" w:w="100"/>
              <w:right w:type="dxa" w:w="120"/>
            </w:tcMar>
          </w:tcPr>
          <w:p>
            <w:pPr>
              <w:spacing w:after="40"/>
              <w:jc w:val="left"/>
            </w:pPr>
            <w:r>
              <w:rPr>
                <w:rFonts w:ascii="Calibri" w:cs="Calibri" w:eastAsia="Calibri" w:hAnsi="Calibri"/>
                <w:b/>
                <w:bCs/>
                <w:color w:val="FFFFFF"/>
                <w:sz w:val="20"/>
                <w:szCs w:val="20"/>
              </w:rPr>
              <w:t xml:space="preserve">Evidence location</w:t>
            </w:r>
          </w:p>
        </w:tc>
      </w:tr>
      <w:tr>
        <w:tc>
          <w:tcPr>
            <w:tcW w:type="dxa" w:w="20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1</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Auditable Control Taxonomy</w:t>
            </w:r>
          </w:p>
        </w:tc>
        <w:tc>
          <w:tcPr>
            <w:tcW w:type="dxa" w:w="20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HONORED</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Capa 1 — 36 Controles document</w:t>
            </w:r>
          </w:p>
        </w:tc>
      </w:tr>
      <w:tr>
        <w:tc>
          <w:tcPr>
            <w:tcW w:type="dxa" w:w="20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2</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Triple Crosswalk (ARHIA × ARISE × NIST CSF)</w:t>
            </w:r>
          </w:p>
        </w:tc>
        <w:tc>
          <w:tcPr>
            <w:tcW w:type="dxa" w:w="20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HONORED AND EXCEEDED</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Capa 1 — All docs (per-control crosswalks to 5 frameworks)</w:t>
            </w:r>
          </w:p>
        </w:tc>
      </w:tr>
      <w:tr>
        <w:tc>
          <w:tcPr>
            <w:tcW w:type="dxa" w:w="20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3</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D-TCG+ Cross-Domain Correlation</w:t>
            </w:r>
          </w:p>
        </w:tc>
        <w:tc>
          <w:tcPr>
            <w:tcW w:type="dxa" w:w="20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HONORED</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Capa 1 Master Architecture + Capa 2/3 runtime (B03, B06, BBR)</w:t>
            </w:r>
          </w:p>
        </w:tc>
      </w:tr>
      <w:tr>
        <w:tc>
          <w:tcPr>
            <w:tcW w:type="dxa" w:w="2000"/>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4</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Documentary Consolidation</w:t>
            </w:r>
          </w:p>
        </w:tc>
        <w:tc>
          <w:tcPr>
            <w:tcW w:type="dxa" w:w="2000"/>
            <w:shd w:fill="E2EFDA"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HONORED (closed by this doc)</w:t>
            </w:r>
          </w:p>
        </w:tc>
        <w:tc>
          <w:tcPr>
            <w:tcW w:type="dxa" w:w="2000"/>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Capa 1 Master + Whitepaper + this Changelog (Capa 5)</w:t>
            </w:r>
          </w:p>
        </w:tc>
      </w:tr>
      <w:tr>
        <w:tc>
          <w:tcPr>
            <w:tcW w:type="dxa" w:w="20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w:t>
            </w:r>
          </w:p>
        </w:tc>
        <w:tc>
          <w:tcPr>
            <w:tcW w:type="dxa" w:w="2000"/>
            <w:shd w:fill="DEEBF7" w:val="clear"/>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Beyond-plan deliveries</w:t>
            </w:r>
          </w:p>
        </w:tc>
        <w:tc>
          <w:tcPr>
            <w:tcW w:type="dxa" w:w="2000"/>
            <w:shd w:fill="DEEBF7" w:val="clear"/>
            <w:tcMar>
              <w:top w:type="dxa" w:w="100"/>
              <w:left w:type="dxa" w:w="120"/>
              <w:bottom w:type="dxa" w:w="100"/>
              <w:right w:type="dxa" w:w="120"/>
            </w:tcMar>
          </w:tcPr>
          <w:p>
            <w:pPr>
              <w:spacing w:after="40"/>
              <w:jc w:val="center"/>
            </w:pPr>
            <w:r>
              <w:rPr>
                <w:rFonts w:ascii="Calibri" w:cs="Calibri" w:eastAsia="Calibri" w:hAnsi="Calibri"/>
                <w:b/>
                <w:bCs/>
                <w:color w:val="262626"/>
                <w:sz w:val="20"/>
                <w:szCs w:val="20"/>
              </w:rPr>
              <w:t xml:space="preserve">NET ADDITIONS</w:t>
            </w:r>
          </w:p>
        </w:tc>
        <w:tc>
          <w:tcPr>
            <w:tcW w:type="dxa" w:w="2000"/>
            <w:shd w:fill="DEEBF7" w:val="clear"/>
            <w:tcMar>
              <w:top w:type="dxa" w:w="100"/>
              <w:left w:type="dxa" w:w="120"/>
              <w:bottom w:type="dxa" w:w="100"/>
              <w:right w:type="dxa" w:w="120"/>
            </w:tcMar>
          </w:tcPr>
          <w:p>
            <w:pPr>
              <w:spacing w:after="40"/>
              <w:jc w:val="left"/>
            </w:pPr>
            <w:r>
              <w:rPr>
                <w:rFonts w:ascii="Calibri" w:cs="Calibri" w:eastAsia="Calibri" w:hAnsi="Calibri"/>
                <w:b w:val="false"/>
                <w:bCs w:val="false"/>
                <w:color w:val="262626"/>
                <w:sz w:val="20"/>
                <w:szCs w:val="20"/>
              </w:rPr>
              <w:t xml:space="preserve">Capas 2, 3, 3b, 4, 5</w:t>
            </w:r>
          </w:p>
        </w:tc>
      </w:tr>
    </w:tbl>
    <w:p>
      <w:pPr>
        <w:spacing w:after="120"/>
      </w:pPr>
      <w:r>
        <w:rPr>
          <w:rFonts w:ascii="Calibri" w:cs="Calibri" w:eastAsia="Calibri" w:hAnsi="Calibri"/>
        </w:rPr>
        <w:t xml:space="preserve"> </w:t>
      </w:r>
    </w:p>
    <w:tbl>
      <w:tblPr>
        <w:tblW w:type="pct" w:w="100%"/>
        <w:tblBorders>
          <w:top w:val="single" w:color="548235" w:sz="12"/>
          <w:left w:val="single" w:color="548235" w:sz="12"/>
          <w:bottom w:val="single" w:color="548235" w:sz="12"/>
          <w:right w:val="single" w:color="548235" w:sz="12"/>
          <w:insideH w:val="none"/>
          <w:insideV w:val="none"/>
        </w:tblBorders>
      </w:tblPr>
      <w:tblGrid>
        <w:gridCol w:w="100"/>
      </w:tblGrid>
      <w:tr>
        <w:tc>
          <w:tcPr>
            <w:shd w:fill="E2EFDA" w:val="clear"/>
            <w:tcMar>
              <w:top w:type="dxa" w:w="160"/>
              <w:left w:type="dxa" w:w="200"/>
              <w:bottom w:type="dxa" w:w="160"/>
              <w:right w:type="dxa" w:w="200"/>
            </w:tcMar>
          </w:tcPr>
          <w:p>
            <w:pPr>
              <w:spacing w:after="80"/>
            </w:pPr>
            <w:r>
              <w:rPr>
                <w:rFonts w:ascii="Calibri" w:cs="Calibri" w:eastAsia="Calibri" w:hAnsi="Calibri"/>
                <w:b/>
                <w:bCs/>
                <w:color w:val="548235"/>
                <w:sz w:val="22"/>
                <w:szCs w:val="22"/>
              </w:rPr>
              <w:t xml:space="preserve">Overall delivery summary</w:t>
            </w:r>
          </w:p>
          <w:p>
            <w:r>
              <w:rPr>
                <w:rFonts w:ascii="Calibri" w:cs="Calibri" w:eastAsia="Calibri" w:hAnsi="Calibri"/>
                <w:color w:val="262626"/>
                <w:sz w:val="20"/>
                <w:szCs w:val="20"/>
              </w:rPr>
              <w:t xml:space="preserve">Four axes planned. Four axes honored (one exceeded, one closed by this document). Five beyond-plan deliveries of substantial scope. The v11.4 release is complete against the original plan and additionally delivers a production runtime package that was not in the original scope but is required for enterprise adoption.</w:t>
            </w:r>
          </w:p>
        </w:tc>
      </w:tr>
    </w:tbl>
    <w:p>
      <w:r>
        <w:br w:type="page"/>
      </w:r>
    </w:p>
    <w:p>
      <w:pPr>
        <w:pStyle w:val="Heading1"/>
        <w:spacing w:after="180" w:before="360"/>
      </w:pPr>
      <w:r>
        <w:rPr>
          <w:rFonts w:ascii="Calibri" w:cs="Calibri" w:eastAsia="Calibri" w:hAnsi="Calibri"/>
          <w:b/>
          <w:bCs/>
          <w:color w:val="1F3864"/>
          <w:sz w:val="32"/>
          <w:szCs w:val="32"/>
        </w:rPr>
        <w:t xml:space="preserve">9. Breaking and Non-Breaking Changes</w:t>
      </w:r>
    </w:p>
    <w:p>
      <w:pPr>
        <w:spacing w:after="140" w:line="300"/>
        <w:jc w:val="both"/>
      </w:pPr>
      <w:r>
        <w:rPr>
          <w:rFonts w:ascii="Calibri" w:cs="Calibri" w:eastAsia="Calibri" w:hAnsi="Calibri"/>
          <w:color w:val="262626"/>
          <w:sz w:val="22"/>
          <w:szCs w:val="22"/>
        </w:rPr>
        <w:t xml:space="preserve">This section lists changes relative to v11.3 that may affect consumers of the ARHIA framework, classified by impact.</w:t>
      </w:r>
    </w:p>
    <w:p>
      <w:pPr>
        <w:pStyle w:val="Heading2"/>
        <w:spacing w:after="140" w:before="280"/>
      </w:pPr>
      <w:r>
        <w:rPr>
          <w:rFonts w:ascii="Calibri" w:cs="Calibri" w:eastAsia="Calibri" w:hAnsi="Calibri"/>
          <w:b/>
          <w:bCs/>
          <w:color w:val="2E75B6"/>
          <w:sz w:val="26"/>
          <w:szCs w:val="26"/>
        </w:rPr>
        <w:t xml:space="preserve">9.1. Breaking changes</w:t>
      </w:r>
    </w:p>
    <w:p>
      <w:pPr>
        <w:pStyle w:val="ListParagraph"/>
        <w:numPr>
          <w:ilvl w:val="0"/>
          <w:numId w:val="1"/>
        </w:numPr>
        <w:spacing w:after="80"/>
      </w:pPr>
      <w:r>
        <w:rPr>
          <w:rFonts w:ascii="Calibri" w:cs="Calibri" w:eastAsia="Calibri" w:hAnsi="Calibri"/>
          <w:color w:val="262626"/>
          <w:sz w:val="22"/>
          <w:szCs w:val="22"/>
        </w:rPr>
        <w:t xml:space="preserve">Brand rename: ARHIA → ARHIAX. All artifact names now use the ARHIAX_v114_* prefix. The legacy ARHIA_v11_* filenames are deprecated but can coexist for transition.</w:t>
      </w:r>
    </w:p>
    <w:p>
      <w:pPr>
        <w:pStyle w:val="ListParagraph"/>
        <w:numPr>
          <w:ilvl w:val="0"/>
          <w:numId w:val="1"/>
        </w:numPr>
        <w:spacing w:after="80"/>
      </w:pPr>
      <w:r>
        <w:rPr>
          <w:rFonts w:ascii="Calibri" w:cs="Calibri" w:eastAsia="Calibri" w:hAnsi="Calibri"/>
          <w:color w:val="262626"/>
          <w:sz w:val="22"/>
          <w:szCs w:val="22"/>
        </w:rPr>
        <w:t xml:space="preserve">Control registry reduction: 47 informal controls → 36 formal controls. Some informal v11.3 controls were consolidated or retired. The RTM documents the lineage of each control with one of five dispositions: KEPT, CONSOLIDATED, PROMOTED, RETIRED, or NEW.</w:t>
      </w:r>
    </w:p>
    <w:p>
      <w:pPr>
        <w:pStyle w:val="ListParagraph"/>
        <w:numPr>
          <w:ilvl w:val="0"/>
          <w:numId w:val="1"/>
        </w:numPr>
        <w:spacing w:after="80"/>
      </w:pPr>
      <w:r>
        <w:rPr>
          <w:rFonts w:ascii="Calibri" w:cs="Calibri" w:eastAsia="Calibri" w:hAnsi="Calibri"/>
          <w:color w:val="262626"/>
          <w:sz w:val="22"/>
          <w:szCs w:val="22"/>
        </w:rPr>
        <w:t xml:space="preserve">Bundle IDs stabilized: the 19 bundles are named B01–B19 with fixed semantics. Any v11.3 consumer that hard-coded intermediate bundle identifiers must migrate.</w:t>
      </w:r>
    </w:p>
    <w:p>
      <w:pPr>
        <w:pStyle w:val="ListParagraph"/>
        <w:numPr>
          <w:ilvl w:val="0"/>
          <w:numId w:val="1"/>
        </w:numPr>
        <w:spacing w:after="80"/>
      </w:pPr>
      <w:r>
        <w:rPr>
          <w:rFonts w:ascii="Calibri" w:cs="Calibri" w:eastAsia="Calibri" w:hAnsi="Calibri"/>
          <w:color w:val="262626"/>
          <w:sz w:val="22"/>
          <w:szCs w:val="22"/>
        </w:rPr>
        <w:t xml:space="preserve">ATK outcome set stabilized: exactly 6 outcomes (ALLOW, ALLOW_WITH_MONITORING, ALLOW_WITH_RESTRICTIONS, REQUIRE_HUMAN_APPROVAL, DENY, DENY_WITH_INCIDENT). v11.3 drafts that used a different outcome set must migrate.</w:t>
      </w:r>
    </w:p>
    <w:p>
      <w:pPr>
        <w:pStyle w:val="ListParagraph"/>
        <w:numPr>
          <w:ilvl w:val="0"/>
          <w:numId w:val="1"/>
        </w:numPr>
        <w:spacing w:after="80"/>
      </w:pPr>
      <w:r>
        <w:rPr>
          <w:rFonts w:ascii="Calibri" w:cs="Calibri" w:eastAsia="Calibri" w:hAnsi="Calibri"/>
          <w:color w:val="262626"/>
          <w:sz w:val="22"/>
          <w:szCs w:val="22"/>
        </w:rPr>
        <w:t xml:space="preserve">Environment variable schema: the ATK runtime now requires ARHIAX_MODE and the six ARHIAX_{AIM,OPA,AUT,BBR,EGA,HIC}_URL variables when running in production mode. Development mode remains zero-config with in-memory clients.</w:t>
      </w:r>
    </w:p>
    <w:p>
      <w:pPr>
        <w:pStyle w:val="Heading2"/>
        <w:spacing w:after="140" w:before="280"/>
      </w:pPr>
      <w:r>
        <w:rPr>
          <w:rFonts w:ascii="Calibri" w:cs="Calibri" w:eastAsia="Calibri" w:hAnsi="Calibri"/>
          <w:b/>
          <w:bCs/>
          <w:color w:val="2E75B6"/>
          <w:sz w:val="26"/>
          <w:szCs w:val="26"/>
        </w:rPr>
        <w:t xml:space="preserve">9.2. Non-breaking changes</w:t>
      </w:r>
    </w:p>
    <w:p>
      <w:pPr>
        <w:pStyle w:val="ListParagraph"/>
        <w:numPr>
          <w:ilvl w:val="0"/>
          <w:numId w:val="1"/>
        </w:numPr>
        <w:spacing w:after="80"/>
      </w:pPr>
      <w:r>
        <w:rPr>
          <w:rFonts w:ascii="Calibri" w:cs="Calibri" w:eastAsia="Calibri" w:hAnsi="Calibri"/>
          <w:color w:val="262626"/>
          <w:sz w:val="22"/>
          <w:szCs w:val="22"/>
        </w:rPr>
        <w:t xml:space="preserve">Addition of the Helm chart: new deployment option, no impact on existing deployments.</w:t>
      </w:r>
    </w:p>
    <w:p>
      <w:pPr>
        <w:pStyle w:val="ListParagraph"/>
        <w:numPr>
          <w:ilvl w:val="0"/>
          <w:numId w:val="1"/>
        </w:numPr>
        <w:spacing w:after="80"/>
      </w:pPr>
      <w:r>
        <w:rPr>
          <w:rFonts w:ascii="Calibri" w:cs="Calibri" w:eastAsia="Calibri" w:hAnsi="Calibri"/>
          <w:color w:val="262626"/>
          <w:sz w:val="22"/>
          <w:szCs w:val="22"/>
        </w:rPr>
        <w:t xml:space="preserve">Addition of the hardened production clients: drop-in replacement for the in-memory clients via ARHIAX_MODE=production; in-memory clients remain the default.</w:t>
      </w:r>
    </w:p>
    <w:p>
      <w:pPr>
        <w:pStyle w:val="ListParagraph"/>
        <w:numPr>
          <w:ilvl w:val="0"/>
          <w:numId w:val="1"/>
        </w:numPr>
        <w:spacing w:after="80"/>
      </w:pPr>
      <w:r>
        <w:rPr>
          <w:rFonts w:ascii="Calibri" w:cs="Calibri" w:eastAsia="Calibri" w:hAnsi="Calibri"/>
          <w:color w:val="262626"/>
          <w:sz w:val="22"/>
          <w:szCs w:val="22"/>
        </w:rPr>
        <w:t xml:space="preserve">Addition of 17 new OPA bundles (B01–B13, B15, B17–B19): prior consumers of B14 and B16 continue to work unchanged.</w:t>
      </w:r>
    </w:p>
    <w:p>
      <w:pPr>
        <w:pStyle w:val="ListParagraph"/>
        <w:numPr>
          <w:ilvl w:val="0"/>
          <w:numId w:val="1"/>
        </w:numPr>
        <w:spacing w:after="80"/>
      </w:pPr>
      <w:r>
        <w:rPr>
          <w:rFonts w:ascii="Calibri" w:cs="Calibri" w:eastAsia="Calibri" w:hAnsi="Calibri"/>
          <w:color w:val="262626"/>
          <w:sz w:val="22"/>
          <w:szCs w:val="22"/>
        </w:rPr>
        <w:t xml:space="preserve">Addition of 5 new control families (AIM, POL, DAT plus expansions in HIC and DTG): existing controls are unchanged.</w:t>
      </w:r>
    </w:p>
    <w:p>
      <w:pPr>
        <w:pStyle w:val="ListParagraph"/>
        <w:numPr>
          <w:ilvl w:val="0"/>
          <w:numId w:val="1"/>
        </w:numPr>
        <w:spacing w:after="80"/>
      </w:pPr>
      <w:r>
        <w:rPr>
          <w:rFonts w:ascii="Calibri" w:cs="Calibri" w:eastAsia="Calibri" w:hAnsi="Calibri"/>
          <w:color w:val="262626"/>
          <w:sz w:val="22"/>
          <w:szCs w:val="22"/>
        </w:rPr>
        <w:t xml:space="preserve">Addition of the Incident Response Runbooks (Capa 5): no impact on existing runtime.</w:t>
      </w:r>
    </w:p>
    <w:p>
      <w:pPr>
        <w:pStyle w:val="Heading2"/>
        <w:spacing w:after="140" w:before="280"/>
      </w:pPr>
      <w:r>
        <w:rPr>
          <w:rFonts w:ascii="Calibri" w:cs="Calibri" w:eastAsia="Calibri" w:hAnsi="Calibri"/>
          <w:b/>
          <w:bCs/>
          <w:color w:val="2E75B6"/>
          <w:sz w:val="26"/>
          <w:szCs w:val="26"/>
        </w:rPr>
        <w:t xml:space="preserve">9.3. Deprecations</w:t>
      </w:r>
    </w:p>
    <w:p>
      <w:pPr>
        <w:pStyle w:val="ListParagraph"/>
        <w:numPr>
          <w:ilvl w:val="0"/>
          <w:numId w:val="1"/>
        </w:numPr>
        <w:spacing w:after="80"/>
      </w:pPr>
      <w:r>
        <w:rPr>
          <w:rFonts w:ascii="Calibri" w:cs="Calibri" w:eastAsia="Calibri" w:hAnsi="Calibri"/>
          <w:color w:val="262626"/>
          <w:sz w:val="22"/>
          <w:szCs w:val="22"/>
        </w:rPr>
        <w:t xml:space="preserve">The informal ~47 control set from v11.3 is deprecated. Consumers should migrate to the 36 formal controls using the RTM mapping.</w:t>
      </w:r>
    </w:p>
    <w:p>
      <w:pPr>
        <w:pStyle w:val="ListParagraph"/>
        <w:numPr>
          <w:ilvl w:val="0"/>
          <w:numId w:val="1"/>
        </w:numPr>
        <w:spacing w:after="80"/>
      </w:pPr>
      <w:r>
        <w:rPr>
          <w:rFonts w:ascii="Calibri" w:cs="Calibri" w:eastAsia="Calibri" w:hAnsi="Calibri"/>
          <w:color w:val="262626"/>
          <w:sz w:val="22"/>
          <w:szCs w:val="22"/>
        </w:rPr>
        <w:t xml:space="preserve">Legacy filenames ARHIA_v11_* are deprecated in favor of ARHIAX_v114_*. Both can coexist during transition; legacy names will be removed in v11.5.</w:t>
      </w:r>
    </w:p>
    <w:p>
      <w:pPr>
        <w:pStyle w:val="ListParagraph"/>
        <w:numPr>
          <w:ilvl w:val="0"/>
          <w:numId w:val="1"/>
        </w:numPr>
        <w:spacing w:after="80"/>
      </w:pPr>
      <w:r>
        <w:rPr>
          <w:rFonts w:ascii="Calibri" w:cs="Calibri" w:eastAsia="Calibri" w:hAnsi="Calibri"/>
          <w:color w:val="262626"/>
          <w:sz w:val="22"/>
          <w:szCs w:val="22"/>
        </w:rPr>
        <w:t xml:space="preserve">The conceptual-only bundle descriptions from v11.3 are deprecated in favor of the executable bundles B01–B19 in v11.4.</w:t>
      </w:r>
    </w:p>
    <w:p>
      <w:r>
        <w:br w:type="page"/>
      </w:r>
    </w:p>
    <w:p>
      <w:pPr>
        <w:pStyle w:val="Heading1"/>
        <w:spacing w:after="180" w:before="360"/>
      </w:pPr>
      <w:r>
        <w:rPr>
          <w:rFonts w:ascii="Calibri" w:cs="Calibri" w:eastAsia="Calibri" w:hAnsi="Calibri"/>
          <w:b/>
          <w:bCs/>
          <w:color w:val="1F3864"/>
          <w:sz w:val="32"/>
          <w:szCs w:val="32"/>
        </w:rPr>
        <w:t xml:space="preserve">10. Migration Guide v11.3 → v11.4</w:t>
      </w:r>
    </w:p>
    <w:p>
      <w:pPr>
        <w:spacing w:after="140" w:line="300"/>
        <w:jc w:val="both"/>
      </w:pPr>
      <w:r>
        <w:rPr>
          <w:rFonts w:ascii="Calibri" w:cs="Calibri" w:eastAsia="Calibri" w:hAnsi="Calibri"/>
          <w:color w:val="262626"/>
          <w:sz w:val="22"/>
          <w:szCs w:val="22"/>
        </w:rPr>
        <w:t xml:space="preserve">This section is the operational guide for teams migrating from ARHIA v11.3 to ARHIAX v11.4. It is organized by role.</w:t>
      </w:r>
    </w:p>
    <w:p>
      <w:pPr>
        <w:pStyle w:val="Heading2"/>
        <w:spacing w:after="140" w:before="280"/>
      </w:pPr>
      <w:r>
        <w:rPr>
          <w:rFonts w:ascii="Calibri" w:cs="Calibri" w:eastAsia="Calibri" w:hAnsi="Calibri"/>
          <w:b/>
          <w:bCs/>
          <w:color w:val="2E75B6"/>
          <w:sz w:val="26"/>
          <w:szCs w:val="26"/>
        </w:rPr>
        <w:t xml:space="preserve">10.1. For architects</w:t>
      </w:r>
    </w:p>
    <w:p>
      <w:pPr>
        <w:pStyle w:val="ListParagraph"/>
        <w:numPr>
          <w:ilvl w:val="0"/>
          <w:numId w:val="2"/>
        </w:numPr>
        <w:spacing w:after="80"/>
      </w:pPr>
      <w:r>
        <w:rPr>
          <w:rFonts w:ascii="Calibri" w:cs="Calibri" w:eastAsia="Calibri" w:hAnsi="Calibri"/>
          <w:color w:val="262626"/>
          <w:sz w:val="22"/>
          <w:szCs w:val="22"/>
        </w:rPr>
        <w:t xml:space="preserve">Read the ARHIAX_v114_Master_Architecture_EN.docx first to understand the updated three-plane architecture with the 14 components.</w:t>
      </w:r>
    </w:p>
    <w:p>
      <w:pPr>
        <w:pStyle w:val="ListParagraph"/>
        <w:numPr>
          <w:ilvl w:val="0"/>
          <w:numId w:val="2"/>
        </w:numPr>
        <w:spacing w:after="80"/>
      </w:pPr>
      <w:r>
        <w:rPr>
          <w:rFonts w:ascii="Calibri" w:cs="Calibri" w:eastAsia="Calibri" w:hAnsi="Calibri"/>
          <w:color w:val="262626"/>
          <w:sz w:val="22"/>
          <w:szCs w:val="22"/>
        </w:rPr>
        <w:t xml:space="preserve">Read the ARHIAX_v114_36_Controles_Gobernanza_MultiAgente.docx to understand the new formal control registry.</w:t>
      </w:r>
    </w:p>
    <w:p>
      <w:pPr>
        <w:pStyle w:val="ListParagraph"/>
        <w:numPr>
          <w:ilvl w:val="0"/>
          <w:numId w:val="2"/>
        </w:numPr>
        <w:spacing w:after="80"/>
      </w:pPr>
      <w:r>
        <w:rPr>
          <w:rFonts w:ascii="Calibri" w:cs="Calibri" w:eastAsia="Calibri" w:hAnsi="Calibri"/>
          <w:color w:val="262626"/>
          <w:sz w:val="22"/>
          <w:szCs w:val="22"/>
        </w:rPr>
        <w:t xml:space="preserve">Read this changelog to understand what changed and why.</w:t>
      </w:r>
    </w:p>
    <w:p>
      <w:pPr>
        <w:pStyle w:val="ListParagraph"/>
        <w:numPr>
          <w:ilvl w:val="0"/>
          <w:numId w:val="2"/>
        </w:numPr>
        <w:spacing w:after="80"/>
      </w:pPr>
      <w:r>
        <w:rPr>
          <w:rFonts w:ascii="Calibri" w:cs="Calibri" w:eastAsia="Calibri" w:hAnsi="Calibri"/>
          <w:color w:val="262626"/>
          <w:sz w:val="22"/>
          <w:szCs w:val="22"/>
        </w:rPr>
        <w:t xml:space="preserve">Update any internal architecture diagrams that reference v11.3 component names.</w:t>
      </w:r>
    </w:p>
    <w:p>
      <w:pPr>
        <w:pStyle w:val="ListParagraph"/>
        <w:numPr>
          <w:ilvl w:val="0"/>
          <w:numId w:val="2"/>
        </w:numPr>
        <w:spacing w:after="80"/>
      </w:pPr>
      <w:r>
        <w:rPr>
          <w:rFonts w:ascii="Calibri" w:cs="Calibri" w:eastAsia="Calibri" w:hAnsi="Calibri"/>
          <w:color w:val="262626"/>
          <w:sz w:val="22"/>
          <w:szCs w:val="22"/>
        </w:rPr>
        <w:t xml:space="preserve">Validate your mental model against the five crosswalks in the Master Architecture.</w:t>
      </w:r>
    </w:p>
    <w:p>
      <w:pPr>
        <w:pStyle w:val="Heading2"/>
        <w:spacing w:after="140" w:before="280"/>
      </w:pPr>
      <w:r>
        <w:rPr>
          <w:rFonts w:ascii="Calibri" w:cs="Calibri" w:eastAsia="Calibri" w:hAnsi="Calibri"/>
          <w:b/>
          <w:bCs/>
          <w:color w:val="2E75B6"/>
          <w:sz w:val="26"/>
          <w:szCs w:val="26"/>
        </w:rPr>
        <w:t xml:space="preserve">10.2. For engineers</w:t>
      </w:r>
    </w:p>
    <w:p>
      <w:pPr>
        <w:pStyle w:val="ListParagraph"/>
        <w:numPr>
          <w:ilvl w:val="0"/>
          <w:numId w:val="2"/>
        </w:numPr>
        <w:spacing w:after="80"/>
      </w:pPr>
      <w:r>
        <w:rPr>
          <w:rFonts w:ascii="Calibri" w:cs="Calibri" w:eastAsia="Calibri" w:hAnsi="Calibri"/>
          <w:color w:val="262626"/>
          <w:sz w:val="22"/>
          <w:szCs w:val="22"/>
        </w:rPr>
        <w:t xml:space="preserve">Pull the v11.4 runtime from the ARHIAX repository (Capa 2, 3, and 4 artifacts).</w:t>
      </w:r>
    </w:p>
    <w:p>
      <w:pPr>
        <w:pStyle w:val="ListParagraph"/>
        <w:numPr>
          <w:ilvl w:val="0"/>
          <w:numId w:val="2"/>
        </w:numPr>
        <w:spacing w:after="80"/>
      </w:pPr>
      <w:r>
        <w:rPr>
          <w:rFonts w:ascii="Calibri" w:cs="Calibri" w:eastAsia="Calibri" w:hAnsi="Calibri"/>
          <w:color w:val="262626"/>
          <w:sz w:val="22"/>
          <w:szCs w:val="22"/>
        </w:rPr>
        <w:t xml:space="preserve">Run the 254-test suite locally to establish a baseline (pytest test_integration.py test_bundles_b01_b19.py test_hardened_clients.py; opa test authz.rego authz_test.rego; opa test bundles_b01_b19.rego bundles_b01_b19_test.rego).</w:t>
      </w:r>
    </w:p>
    <w:p>
      <w:pPr>
        <w:pStyle w:val="ListParagraph"/>
        <w:numPr>
          <w:ilvl w:val="0"/>
          <w:numId w:val="2"/>
        </w:numPr>
        <w:spacing w:after="80"/>
      </w:pPr>
      <w:r>
        <w:rPr>
          <w:rFonts w:ascii="Calibri" w:cs="Calibri" w:eastAsia="Calibri" w:hAnsi="Calibri"/>
          <w:color w:val="262626"/>
          <w:sz w:val="22"/>
          <w:szCs w:val="22"/>
        </w:rPr>
        <w:t xml:space="preserve">Update your service configuration to include the ARHIAX_MODE environment variable. Default is development; set to production for hardened clients.</w:t>
      </w:r>
    </w:p>
    <w:p>
      <w:pPr>
        <w:pStyle w:val="ListParagraph"/>
        <w:numPr>
          <w:ilvl w:val="0"/>
          <w:numId w:val="2"/>
        </w:numPr>
        <w:spacing w:after="80"/>
      </w:pPr>
      <w:r>
        <w:rPr>
          <w:rFonts w:ascii="Calibri" w:cs="Calibri" w:eastAsia="Calibri" w:hAnsi="Calibri"/>
          <w:color w:val="262626"/>
          <w:sz w:val="22"/>
          <w:szCs w:val="22"/>
        </w:rPr>
        <w:t xml:space="preserve">Review the Dockerfile for the build gate pattern (tests as part of docker build).</w:t>
      </w:r>
    </w:p>
    <w:p>
      <w:pPr>
        <w:pStyle w:val="ListParagraph"/>
        <w:numPr>
          <w:ilvl w:val="0"/>
          <w:numId w:val="2"/>
        </w:numPr>
        <w:spacing w:after="80"/>
      </w:pPr>
      <w:r>
        <w:rPr>
          <w:rFonts w:ascii="Calibri" w:cs="Calibri" w:eastAsia="Calibri" w:hAnsi="Calibri"/>
          <w:color w:val="262626"/>
          <w:sz w:val="22"/>
          <w:szCs w:val="22"/>
        </w:rPr>
        <w:t xml:space="preserve">If deploying to Kubernetes, use the Helm chart from Capa 3b and select the appropriate values file for your pilot.</w:t>
      </w:r>
    </w:p>
    <w:p>
      <w:pPr>
        <w:pStyle w:val="Heading2"/>
        <w:spacing w:after="140" w:before="280"/>
      </w:pPr>
      <w:r>
        <w:rPr>
          <w:rFonts w:ascii="Calibri" w:cs="Calibri" w:eastAsia="Calibri" w:hAnsi="Calibri"/>
          <w:b/>
          <w:bCs/>
          <w:color w:val="2E75B6"/>
          <w:sz w:val="26"/>
          <w:szCs w:val="26"/>
        </w:rPr>
        <w:t xml:space="preserve">10.3. For security officers</w:t>
      </w:r>
    </w:p>
    <w:p>
      <w:pPr>
        <w:pStyle w:val="ListParagraph"/>
        <w:numPr>
          <w:ilvl w:val="0"/>
          <w:numId w:val="2"/>
        </w:numPr>
        <w:spacing w:after="80"/>
      </w:pPr>
      <w:r>
        <w:rPr>
          <w:rFonts w:ascii="Calibri" w:cs="Calibri" w:eastAsia="Calibri" w:hAnsi="Calibri"/>
          <w:color w:val="262626"/>
          <w:sz w:val="22"/>
          <w:szCs w:val="22"/>
        </w:rPr>
        <w:t xml:space="preserve">Read the 36-control registry and map your existing security controls to the new formal IDs.</w:t>
      </w:r>
    </w:p>
    <w:p>
      <w:pPr>
        <w:pStyle w:val="ListParagraph"/>
        <w:numPr>
          <w:ilvl w:val="0"/>
          <w:numId w:val="2"/>
        </w:numPr>
        <w:spacing w:after="80"/>
      </w:pPr>
      <w:r>
        <w:rPr>
          <w:rFonts w:ascii="Calibri" w:cs="Calibri" w:eastAsia="Calibri" w:hAnsi="Calibri"/>
          <w:color w:val="262626"/>
          <w:sz w:val="22"/>
          <w:szCs w:val="22"/>
        </w:rPr>
        <w:t xml:space="preserve">Review the 5 crosswalks if you operate under any of ARISE, OWASP, CSA ATF, Singapore MGF, or NIST CSF 2.0.</w:t>
      </w:r>
    </w:p>
    <w:p>
      <w:pPr>
        <w:pStyle w:val="ListParagraph"/>
        <w:numPr>
          <w:ilvl w:val="0"/>
          <w:numId w:val="2"/>
        </w:numPr>
        <w:spacing w:after="80"/>
      </w:pPr>
      <w:r>
        <w:rPr>
          <w:rFonts w:ascii="Calibri" w:cs="Calibri" w:eastAsia="Calibri" w:hAnsi="Calibri"/>
          <w:color w:val="262626"/>
          <w:sz w:val="22"/>
          <w:szCs w:val="22"/>
        </w:rPr>
        <w:t xml:space="preserve">Review the Incident Response Runbooks (Capa 5, Deliverable 3) and map them to your internal incident response procedures.</w:t>
      </w:r>
    </w:p>
    <w:p>
      <w:pPr>
        <w:pStyle w:val="ListParagraph"/>
        <w:numPr>
          <w:ilvl w:val="0"/>
          <w:numId w:val="2"/>
        </w:numPr>
        <w:spacing w:after="80"/>
      </w:pPr>
      <w:r>
        <w:rPr>
          <w:rFonts w:ascii="Calibri" w:cs="Calibri" w:eastAsia="Calibri" w:hAnsi="Calibri"/>
          <w:color w:val="262626"/>
          <w:sz w:val="22"/>
          <w:szCs w:val="22"/>
        </w:rPr>
        <w:t xml:space="preserve">Review the ATK-C07 startup attestation contract for your CI/CD audit trail.</w:t>
      </w:r>
    </w:p>
    <w:p>
      <w:pPr>
        <w:pStyle w:val="ListParagraph"/>
        <w:numPr>
          <w:ilvl w:val="0"/>
          <w:numId w:val="2"/>
        </w:numPr>
        <w:spacing w:after="80"/>
      </w:pPr>
      <w:r>
        <w:rPr>
          <w:rFonts w:ascii="Calibri" w:cs="Calibri" w:eastAsia="Calibri" w:hAnsi="Calibri"/>
          <w:color w:val="262626"/>
          <w:sz w:val="22"/>
          <w:szCs w:val="22"/>
        </w:rPr>
        <w:t xml:space="preserve">Plan the provisioning of the 6 upstream services (AIM, OPA, AUT, BBR, EGA, HIC) or negotiate with your platform team for access to existing services.</w:t>
      </w:r>
    </w:p>
    <w:p>
      <w:pPr>
        <w:pStyle w:val="Heading2"/>
        <w:spacing w:after="140" w:before="280"/>
      </w:pPr>
      <w:r>
        <w:rPr>
          <w:rFonts w:ascii="Calibri" w:cs="Calibri" w:eastAsia="Calibri" w:hAnsi="Calibri"/>
          <w:b/>
          <w:bCs/>
          <w:color w:val="2E75B6"/>
          <w:sz w:val="26"/>
          <w:szCs w:val="26"/>
        </w:rPr>
        <w:t xml:space="preserve">10.4. For pilot owners</w:t>
      </w:r>
    </w:p>
    <w:p>
      <w:pPr>
        <w:pStyle w:val="ListParagraph"/>
        <w:numPr>
          <w:ilvl w:val="0"/>
          <w:numId w:val="2"/>
        </w:numPr>
        <w:spacing w:after="80"/>
      </w:pPr>
      <w:r>
        <w:rPr>
          <w:rFonts w:ascii="Calibri" w:cs="Calibri" w:eastAsia="Calibri" w:hAnsi="Calibri"/>
          <w:color w:val="262626"/>
          <w:sz w:val="22"/>
          <w:szCs w:val="22"/>
        </w:rPr>
        <w:t xml:space="preserve">Read the Enterprise Pilot Playbook (Capa 5, Deliverable 1) end to end.</w:t>
      </w:r>
    </w:p>
    <w:p>
      <w:pPr>
        <w:pStyle w:val="ListParagraph"/>
        <w:numPr>
          <w:ilvl w:val="0"/>
          <w:numId w:val="2"/>
        </w:numPr>
        <w:spacing w:after="80"/>
      </w:pPr>
      <w:r>
        <w:rPr>
          <w:rFonts w:ascii="Calibri" w:cs="Calibri" w:eastAsia="Calibri" w:hAnsi="Calibri"/>
          <w:color w:val="262626"/>
          <w:sz w:val="22"/>
          <w:szCs w:val="22"/>
        </w:rPr>
        <w:t xml:space="preserve">Select the pilot-specific values file (SPRBUN, Brasil, or HFL) or create a new one based on the existing templates.</w:t>
      </w:r>
    </w:p>
    <w:p>
      <w:pPr>
        <w:pStyle w:val="ListParagraph"/>
        <w:numPr>
          <w:ilvl w:val="0"/>
          <w:numId w:val="2"/>
        </w:numPr>
        <w:spacing w:after="80"/>
      </w:pPr>
      <w:r>
        <w:rPr>
          <w:rFonts w:ascii="Calibri" w:cs="Calibri" w:eastAsia="Calibri" w:hAnsi="Calibri"/>
          <w:color w:val="262626"/>
          <w:sz w:val="22"/>
          <w:szCs w:val="22"/>
        </w:rPr>
        <w:t xml:space="preserve">Populate the RACI matrix with named individuals for your organization.</w:t>
      </w:r>
    </w:p>
    <w:p>
      <w:pPr>
        <w:pStyle w:val="ListParagraph"/>
        <w:numPr>
          <w:ilvl w:val="0"/>
          <w:numId w:val="2"/>
        </w:numPr>
        <w:spacing w:after="80"/>
      </w:pPr>
      <w:r>
        <w:rPr>
          <w:rFonts w:ascii="Calibri" w:cs="Calibri" w:eastAsia="Calibri" w:hAnsi="Calibri"/>
          <w:color w:val="262626"/>
          <w:sz w:val="22"/>
          <w:szCs w:val="22"/>
        </w:rPr>
        <w:t xml:space="preserve">Schedule the kickoff gate and the four subsequent gates per the 10-week timeline.</w:t>
      </w:r>
    </w:p>
    <w:p>
      <w:pPr>
        <w:pStyle w:val="ListParagraph"/>
        <w:numPr>
          <w:ilvl w:val="0"/>
          <w:numId w:val="2"/>
        </w:numPr>
        <w:spacing w:after="80"/>
      </w:pPr>
      <w:r>
        <w:rPr>
          <w:rFonts w:ascii="Calibri" w:cs="Calibri" w:eastAsia="Calibri" w:hAnsi="Calibri"/>
          <w:color w:val="262626"/>
          <w:sz w:val="22"/>
          <w:szCs w:val="22"/>
        </w:rPr>
        <w:t xml:space="preserve">Start collecting the 8 operational metrics from week 1.</w:t>
      </w:r>
    </w:p>
    <w:p>
      <w:pPr>
        <w:spacing w:after="120"/>
      </w:pPr>
      <w:r>
        <w:rPr>
          <w:rFonts w:ascii="Calibri" w:cs="Calibri" w:eastAsia="Calibri" w:hAnsi="Calibri"/>
        </w:rPr>
        <w:t xml:space="preserve"> </w:t>
      </w:r>
    </w:p>
    <w:p>
      <w:pPr>
        <w:spacing w:after="120"/>
      </w:pPr>
      <w:r>
        <w:rPr>
          <w:rFonts w:ascii="Calibri" w:cs="Calibri" w:eastAsia="Calibri" w:hAnsi="Calibri"/>
        </w:rPr>
        <w:t xml:space="preserve"> </w:t>
      </w:r>
    </w:p>
    <w:p>
      <w:pPr>
        <w:spacing w:after="200" w:before="400"/>
        <w:jc w:val="center"/>
      </w:pPr>
      <w:r>
        <w:rPr>
          <w:rFonts w:ascii="Calibri" w:cs="Calibri" w:eastAsia="Calibri" w:hAnsi="Calibri"/>
          <w:i/>
          <w:iCs/>
          <w:color w:val="595959"/>
          <w:sz w:val="20"/>
          <w:szCs w:val="20"/>
        </w:rPr>
        <w:t xml:space="preserve">— End of Changelog —</w:t>
      </w:r>
    </w:p>
    <w:p>
      <w:pPr>
        <w:jc w:val="center"/>
      </w:pPr>
      <w:r>
        <w:rPr>
          <w:rFonts w:ascii="Calibri" w:cs="Calibri" w:eastAsia="Calibri" w:hAnsi="Calibri"/>
          <w:color w:val="595959"/>
          <w:sz w:val="18"/>
          <w:szCs w:val="18"/>
        </w:rPr>
        <w:t xml:space="preserve">ARHIAX v11.4 · Changelog v11.3 → v11.4 · v1.0</w:t>
      </w:r>
    </w:p>
    <w:p>
      <w:pPr>
        <w:jc w:val="center"/>
      </w:pPr>
      <w:r>
        <w:rPr>
          <w:rFonts w:ascii="Calibri" w:cs="Calibri" w:eastAsia="Calibri" w:hAnsi="Calibri"/>
          <w:color w:val="595959"/>
          <w:sz w:val="18"/>
          <w:szCs w:val="18"/>
        </w:rPr>
        <w:t xml:space="preserve">Sinergia Consulting Group S.A.S.  ·  Barranquilla, Colombia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Sinergia Consulting Group S.A.S.  ·  Confidencial  ·  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ARHIAX v11.4 — Changelog v11.3 → v11.4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pPr>
    <w:rPr>
      <w:rFonts w:ascii="Calibri" w:cs="Calibri" w:eastAsia="Calibri" w:hAnsi="Calibri"/>
      <w:b/>
      <w:bCs/>
      <w:color w:val="1F3864"/>
      <w:sz w:val="32"/>
      <w:szCs w:val="32"/>
    </w:rPr>
  </w:style>
  <w:style w:type="paragraph" w:styleId="Heading2">
    <w:name w:val="Heading 2"/>
    <w:basedOn w:val="Normal"/>
    <w:next w:val="Normal"/>
    <w:pPr>
      <w:spacing w:after="140" w:before="280"/>
    </w:pPr>
    <w:rPr>
      <w:rFonts w:ascii="Calibri" w:cs="Calibri" w:eastAsia="Calibri" w:hAnsi="Calibri"/>
      <w:b/>
      <w:bCs/>
      <w:color w:val="2E75B6"/>
      <w:sz w:val="26"/>
      <w:szCs w:val="26"/>
    </w:rPr>
  </w:style>
  <w:style w:type="paragraph" w:styleId="Heading3">
    <w:name w:val="Heading 3"/>
    <w:basedOn w:val="Normal"/>
    <w:next w:val="Normal"/>
    <w:pPr>
      <w:spacing w:after="100" w:before="200"/>
    </w:pPr>
    <w:rPr>
      <w:rFonts w:ascii="Calibri" w:cs="Calibri" w:eastAsia="Calibri" w:hAnsi="Calibri"/>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ARHIAX v11.4 Changelog v11.3 to v11.4</dc:title>
  <dc:creator>Sinergia Consulting Group S.A.S.</dc:creator>
  <dc:description>Formal incremental changelog from ARHIA v11.3 to ARHIAX v11.4</dc:description>
  <cp:lastModifiedBy>Un-named</cp:lastModifiedBy>
  <cp:revision>1</cp:revision>
  <dcterms:created xsi:type="dcterms:W3CDTF">2026-04-07T23:04:31.643Z</dcterms:created>
  <dcterms:modified xsi:type="dcterms:W3CDTF">2026-04-07T23:04:31.644Z</dcterms:modified>
</cp:coreProperties>
</file>

<file path=docProps/custom.xml><?xml version="1.0" encoding="utf-8"?>
<Properties xmlns="http://schemas.openxmlformats.org/officeDocument/2006/custom-properties" xmlns:vt="http://schemas.openxmlformats.org/officeDocument/2006/docPropsVTypes"/>
</file>