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Calibri" w:cs="Calibri" w:eastAsia="Calibri" w:hAnsi="Calibri"/>
        </w:rPr>
        <w:t xml:space="preserve"> </w:t>
      </w:r>
    </w:p>
    <w:p>
      <w:pPr>
        <w:spacing w:after="200"/>
        <w:jc w:val="center"/>
      </w:pPr>
      <w:r>
        <w:rPr>
          <w:rFonts w:ascii="Calibri" w:cs="Calibri" w:eastAsia="Calibri" w:hAnsi="Calibri"/>
          <w:b/>
          <w:bCs/>
          <w:color w:val="2E75B6"/>
          <w:sz w:val="36"/>
          <w:szCs w:val="36"/>
        </w:rPr>
        <w:t xml:space="preserve">ARHIAX v11.4</w:t>
      </w:r>
    </w:p>
    <w:p>
      <w:pPr>
        <w:spacing w:after="240"/>
        <w:jc w:val="center"/>
      </w:pPr>
      <w:r>
        <w:rPr>
          <w:rFonts w:ascii="Calibri" w:cs="Calibri" w:eastAsia="Calibri" w:hAnsi="Calibri"/>
          <w:b/>
          <w:bCs/>
          <w:color w:val="1F3864"/>
          <w:sz w:val="56"/>
          <w:szCs w:val="56"/>
        </w:rPr>
        <w:t xml:space="preserve">Enterprise Pilot Playbook</w:t>
      </w:r>
    </w:p>
    <w:p>
      <w:pPr>
        <w:spacing w:after="2400"/>
        <w:jc w:val="center"/>
      </w:pPr>
      <w:r>
        <w:rPr>
          <w:rFonts w:ascii="Calibri" w:cs="Calibri" w:eastAsia="Calibri" w:hAnsi="Calibri"/>
          <w:i/>
          <w:iCs/>
          <w:color w:val="595959"/>
          <w:sz w:val="28"/>
          <w:szCs w:val="28"/>
        </w:rPr>
        <w:t xml:space="preserve">Operational Guide for ARHIAX v11.4 Production Pilots</w:t>
      </w:r>
    </w:p>
    <w:p>
      <w:pPr>
        <w:spacing w:after="120"/>
        <w:jc w:val="center"/>
      </w:pPr>
      <w:r>
        <w:rPr>
          <w:rFonts w:ascii="Calibri" w:cs="Calibri" w:eastAsia="Calibri" w:hAnsi="Calibri"/>
          <w:color w:val="262626"/>
          <w:sz w:val="22"/>
          <w:szCs w:val="22"/>
        </w:rPr>
        <w:t xml:space="preserve">Document ID: ARHIAX-v114-EPP-001</w:t>
      </w:r>
    </w:p>
    <w:p>
      <w:pPr>
        <w:spacing w:after="120"/>
        <w:jc w:val="center"/>
      </w:pPr>
      <w:r>
        <w:rPr>
          <w:rFonts w:ascii="Calibri" w:cs="Calibri" w:eastAsia="Calibri" w:hAnsi="Calibri"/>
          <w:color w:val="262626"/>
          <w:sz w:val="22"/>
          <w:szCs w:val="22"/>
        </w:rPr>
        <w:t xml:space="preserve">Version: v1.0  ·  Date: 2026-04-07</w:t>
      </w:r>
    </w:p>
    <w:p>
      <w:pPr>
        <w:spacing w:after="120"/>
        <w:jc w:val="center"/>
      </w:pPr>
      <w:r>
        <w:rPr>
          <w:rFonts w:ascii="Calibri" w:cs="Calibri" w:eastAsia="Calibri" w:hAnsi="Calibri"/>
          <w:color w:val="262626"/>
          <w:sz w:val="22"/>
          <w:szCs w:val="22"/>
        </w:rPr>
        <w:t xml:space="preserve">Sinergia Consulting Group S.A.S.  ·  Barranquilla, Colombia</w:t>
      </w:r>
    </w:p>
    <w:p>
      <w:pPr>
        <w:spacing w:after="120"/>
        <w:jc w:val="center"/>
      </w:pPr>
      <w:r>
        <w:rPr>
          <w:rFonts w:ascii="Calibri" w:cs="Calibri" w:eastAsia="Calibri" w:hAnsi="Calibri"/>
          <w:b/>
          <w:bCs/>
          <w:color w:val="C55A11"/>
          <w:sz w:val="20"/>
          <w:szCs w:val="20"/>
        </w:rPr>
        <w:t xml:space="preserve">INTERNO · CONFIDENCIAL</w:t>
      </w:r>
    </w:p>
    <w:p>
      <w:r>
        <w:br w:type="page"/>
      </w:r>
    </w:p>
    <w:p>
      <w:pPr>
        <w:pStyle w:val="Heading1"/>
        <w:spacing w:after="180" w:before="360"/>
      </w:pPr>
      <w:r>
        <w:rPr>
          <w:rFonts w:ascii="Calibri" w:cs="Calibri" w:eastAsia="Calibri" w:hAnsi="Calibri"/>
          <w:b/>
          <w:bCs/>
          <w:color w:val="1F3864"/>
          <w:sz w:val="32"/>
          <w:szCs w:val="32"/>
        </w:rPr>
        <w:t xml:space="preserve">1. Executive Summary</w:t>
      </w:r>
    </w:p>
    <w:p>
      <w:pPr>
        <w:spacing w:after="140" w:line="300"/>
        <w:jc w:val="both"/>
      </w:pPr>
      <w:r>
        <w:rPr>
          <w:rFonts w:ascii="Calibri" w:cs="Calibri" w:eastAsia="Calibri" w:hAnsi="Calibri"/>
          <w:color w:val="262626"/>
          <w:sz w:val="22"/>
          <w:szCs w:val="22"/>
        </w:rPr>
        <w:t xml:space="preserve">This playbook operationalizes an ARHIAX v11.4 pilot from kickoff to go/no-go decision in ten weeks. It is the operational counterpart to the Master Architecture, the 36-control Governance Registry, and the Hoja de Ruta Ruta C. It assumes the Capa 1–4 artifact package is already deployed: seven master documents, the ATK runtime with 19 OPA bundles, the hardened production clients, the Helm chart, and the CI/CD pipeline.</w:t>
      </w:r>
    </w:p>
    <w:p>
      <w:pPr>
        <w:spacing w:after="140" w:line="300"/>
        <w:jc w:val="both"/>
      </w:pPr>
      <w:r>
        <w:rPr>
          <w:rFonts w:ascii="Calibri" w:cs="Calibri" w:eastAsia="Calibri" w:hAnsi="Calibri"/>
          <w:color w:val="262626"/>
          <w:sz w:val="22"/>
          <w:szCs w:val="22"/>
        </w:rPr>
        <w:t xml:space="preserve">A successful ARHIAX pilot produces six tangible outputs that can be presented to an audit committee, a regulator, or an enterprise buyer: (i) a functioning ATK service processing real envelopes against real agent traffic, (ii) an immutable evidence ledger with verified chain of custody, (iii) eight operational metrics collected over the pilot window with documented collection procedures, (iv) at least one successfully executed rollback drill, (v) a populated go/no-go scorecard with threshold 85/100, and (vi) an evidence package ready for external review.</w:t>
      </w:r>
    </w:p>
    <w:p>
      <w:pPr>
        <w:spacing w:after="140" w:line="300"/>
        <w:jc w:val="both"/>
      </w:pPr>
      <w:r>
        <w:rPr>
          <w:rFonts w:ascii="Calibri" w:cs="Calibri" w:eastAsia="Calibri" w:hAnsi="Calibri"/>
          <w:color w:val="262626"/>
          <w:sz w:val="22"/>
          <w:szCs w:val="22"/>
        </w:rPr>
        <w:t xml:space="preserve">The playbook is deliberately opinionated. It enforces a single success threshold, a single timeline, a single RACI template, and a fixed set of metrics. Pilots that want to customize these elements can do so, but the burden of justification shifts to the pilot owner, and the resulting evidence is no longer directly comparable across pilots. For the first three active pilots, the recommendation is to follow the playbook without modification.</w:t>
      </w:r>
    </w:p>
    <w:p>
      <w:pPr>
        <w:spacing w:after="120"/>
      </w:pPr>
      <w:r>
        <w:rPr>
          <w:rFonts w:ascii="Calibri" w:cs="Calibri" w:eastAsia="Calibri" w:hAnsi="Calibri"/>
        </w:rPr>
        <w:t xml:space="preserve"> </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Scope anchor</w:t>
            </w:r>
          </w:p>
          <w:p>
            <w:r>
              <w:rPr>
                <w:rFonts w:ascii="Calibri" w:cs="Calibri" w:eastAsia="Calibri" w:hAnsi="Calibri"/>
                <w:color w:val="262626"/>
                <w:sz w:val="20"/>
                <w:szCs w:val="20"/>
              </w:rPr>
              <w:t xml:space="preserve">This playbook applies to the three active ARHIAX v11.4 pilots: PORT-MAS @ SPRBUN (port logistics, air-gapped), ARHIAX Brasil (fintech PSAV with ZDE mode), and ARHIA HFL (last-mile arbitrage, shadow mode). Each pilot has a dedicated values-*.yaml file in the Helm chart. The generic playbook is applied identically to all three; pilot-specific configuration lives exclusively in the values files.</w:t>
            </w:r>
          </w:p>
        </w:tc>
      </w:tr>
    </w:tbl>
    <w:p>
      <w:r>
        <w:br w:type="page"/>
      </w:r>
    </w:p>
    <w:p>
      <w:pPr>
        <w:pStyle w:val="Heading1"/>
        <w:spacing w:after="180" w:before="360"/>
      </w:pPr>
      <w:r>
        <w:rPr>
          <w:rFonts w:ascii="Calibri" w:cs="Calibri" w:eastAsia="Calibri" w:hAnsi="Calibri"/>
          <w:b/>
          <w:bCs/>
          <w:color w:val="1F3864"/>
          <w:sz w:val="32"/>
          <w:szCs w:val="32"/>
        </w:rPr>
        <w:t xml:space="preserve">2. Pilot Objective and Scope Profile</w:t>
      </w:r>
    </w:p>
    <w:p>
      <w:pPr>
        <w:pStyle w:val="Heading2"/>
        <w:spacing w:after="140" w:before="280"/>
      </w:pPr>
      <w:r>
        <w:rPr>
          <w:rFonts w:ascii="Calibri" w:cs="Calibri" w:eastAsia="Calibri" w:hAnsi="Calibri"/>
          <w:b/>
          <w:bCs/>
          <w:color w:val="2E75B6"/>
          <w:sz w:val="26"/>
          <w:szCs w:val="26"/>
        </w:rPr>
        <w:t xml:space="preserve">2.1. Primary objective</w:t>
      </w:r>
    </w:p>
    <w:p>
      <w:pPr>
        <w:spacing w:after="140" w:line="300"/>
        <w:jc w:val="both"/>
      </w:pPr>
      <w:r>
        <w:rPr>
          <w:rFonts w:ascii="Calibri" w:cs="Calibri" w:eastAsia="Calibri" w:hAnsi="Calibri"/>
          <w:color w:val="262626"/>
          <w:sz w:val="22"/>
          <w:szCs w:val="22"/>
        </w:rPr>
        <w:t xml:space="preserve">The primary objective of an ARHIAX v11.4 pilot is to demonstrate, with production-grade evidence, that the ARHIAX runtime can enforce the 36 governance controls against live agent traffic in a bounded operational domain without degrading business outcomes. A pilot is not a proof of concept; it is a production deployment at a deliberately limited scope that generates audit-grade evidence suitable for subsequent scale-up decisions.</w:t>
      </w:r>
    </w:p>
    <w:p>
      <w:pPr>
        <w:pStyle w:val="Heading2"/>
        <w:spacing w:after="140" w:before="280"/>
      </w:pPr>
      <w:r>
        <w:rPr>
          <w:rFonts w:ascii="Calibri" w:cs="Calibri" w:eastAsia="Calibri" w:hAnsi="Calibri"/>
          <w:b/>
          <w:bCs/>
          <w:color w:val="2E75B6"/>
          <w:sz w:val="26"/>
          <w:szCs w:val="26"/>
        </w:rPr>
        <w:t xml:space="preserve">2.2. Scope profile — what a pilot includes</w:t>
      </w:r>
    </w:p>
    <w:p>
      <w:pPr>
        <w:pStyle w:val="ListParagraph"/>
        <w:numPr>
          <w:ilvl w:val="0"/>
          <w:numId w:val="1"/>
        </w:numPr>
        <w:spacing w:after="80"/>
      </w:pPr>
      <w:r>
        <w:rPr>
          <w:rFonts w:ascii="Calibri" w:cs="Calibri" w:eastAsia="Calibri" w:hAnsi="Calibri"/>
          <w:color w:val="262626"/>
          <w:sz w:val="22"/>
          <w:szCs w:val="22"/>
        </w:rPr>
        <w:t xml:space="preserve">One bounded business use case with a single named sponsor and a measurable success criterion defined in advance.</w:t>
      </w:r>
    </w:p>
    <w:p>
      <w:pPr>
        <w:pStyle w:val="ListParagraph"/>
        <w:numPr>
          <w:ilvl w:val="0"/>
          <w:numId w:val="1"/>
        </w:numPr>
        <w:spacing w:after="80"/>
      </w:pPr>
      <w:r>
        <w:rPr>
          <w:rFonts w:ascii="Calibri" w:cs="Calibri" w:eastAsia="Calibri" w:hAnsi="Calibri"/>
          <w:color w:val="262626"/>
          <w:sz w:val="22"/>
          <w:szCs w:val="22"/>
        </w:rPr>
        <w:t xml:space="preserve">One ATK service deployment sized per the pilot-specific values file (SPRBUN, Brasil, or HFL).</w:t>
      </w:r>
    </w:p>
    <w:p>
      <w:pPr>
        <w:pStyle w:val="ListParagraph"/>
        <w:numPr>
          <w:ilvl w:val="0"/>
          <w:numId w:val="1"/>
        </w:numPr>
        <w:spacing w:after="80"/>
      </w:pPr>
      <w:r>
        <w:rPr>
          <w:rFonts w:ascii="Calibri" w:cs="Calibri" w:eastAsia="Calibri" w:hAnsi="Calibri"/>
          <w:color w:val="262626"/>
          <w:sz w:val="22"/>
          <w:szCs w:val="22"/>
        </w:rPr>
        <w:t xml:space="preserve">All 19 OPA bundles loaded, with the subset enabled per the values file for that pilot.</w:t>
      </w:r>
    </w:p>
    <w:p>
      <w:pPr>
        <w:pStyle w:val="ListParagraph"/>
        <w:numPr>
          <w:ilvl w:val="0"/>
          <w:numId w:val="1"/>
        </w:numPr>
        <w:spacing w:after="80"/>
      </w:pPr>
      <w:r>
        <w:rPr>
          <w:rFonts w:ascii="Calibri" w:cs="Calibri" w:eastAsia="Calibri" w:hAnsi="Calibri"/>
          <w:color w:val="262626"/>
          <w:sz w:val="22"/>
          <w:szCs w:val="22"/>
        </w:rPr>
        <w:t xml:space="preserve">The full Helm chart with HPA, PDB, NetworkPolicy, and ServiceMonitor active.</w:t>
      </w:r>
    </w:p>
    <w:p>
      <w:pPr>
        <w:pStyle w:val="ListParagraph"/>
        <w:numPr>
          <w:ilvl w:val="0"/>
          <w:numId w:val="1"/>
        </w:numPr>
        <w:spacing w:after="80"/>
      </w:pPr>
      <w:r>
        <w:rPr>
          <w:rFonts w:ascii="Calibri" w:cs="Calibri" w:eastAsia="Calibri" w:hAnsi="Calibri"/>
          <w:color w:val="262626"/>
          <w:sz w:val="22"/>
          <w:szCs w:val="22"/>
        </w:rPr>
        <w:t xml:space="preserve">Hardened production clients pointing to real AIM, OPA, AUT, BBR, EGA, and HIC endpoints.</w:t>
      </w:r>
    </w:p>
    <w:p>
      <w:pPr>
        <w:pStyle w:val="ListParagraph"/>
        <w:numPr>
          <w:ilvl w:val="0"/>
          <w:numId w:val="1"/>
        </w:numPr>
        <w:spacing w:after="80"/>
      </w:pPr>
      <w:r>
        <w:rPr>
          <w:rFonts w:ascii="Calibri" w:cs="Calibri" w:eastAsia="Calibri" w:hAnsi="Calibri"/>
          <w:color w:val="262626"/>
          <w:sz w:val="22"/>
          <w:szCs w:val="22"/>
        </w:rPr>
        <w:t xml:space="preserve">The CI/CD pipeline wired to the pilot branch with trivy scan and kind smoke test as release gates.</w:t>
      </w:r>
    </w:p>
    <w:p>
      <w:pPr>
        <w:pStyle w:val="ListParagraph"/>
        <w:numPr>
          <w:ilvl w:val="0"/>
          <w:numId w:val="1"/>
        </w:numPr>
        <w:spacing w:after="80"/>
      </w:pPr>
      <w:r>
        <w:rPr>
          <w:rFonts w:ascii="Calibri" w:cs="Calibri" w:eastAsia="Calibri" w:hAnsi="Calibri"/>
          <w:color w:val="262626"/>
          <w:sz w:val="22"/>
          <w:szCs w:val="22"/>
        </w:rPr>
        <w:t xml:space="preserve">At least one successfully executed rollback drill in week 6 under the observation of the pilot sponsor.</w:t>
      </w:r>
    </w:p>
    <w:p>
      <w:pPr>
        <w:pStyle w:val="ListParagraph"/>
        <w:numPr>
          <w:ilvl w:val="0"/>
          <w:numId w:val="1"/>
        </w:numPr>
        <w:spacing w:after="80"/>
      </w:pPr>
      <w:r>
        <w:rPr>
          <w:rFonts w:ascii="Calibri" w:cs="Calibri" w:eastAsia="Calibri" w:hAnsi="Calibri"/>
          <w:color w:val="262626"/>
          <w:sz w:val="22"/>
          <w:szCs w:val="22"/>
        </w:rPr>
        <w:t xml:space="preserve">Evidence collection procedures running continuously from week 1 through go/no-go in week 10.</w:t>
      </w:r>
    </w:p>
    <w:p>
      <w:pPr>
        <w:pStyle w:val="Heading2"/>
        <w:spacing w:after="140" w:before="280"/>
      </w:pPr>
      <w:r>
        <w:rPr>
          <w:rFonts w:ascii="Calibri" w:cs="Calibri" w:eastAsia="Calibri" w:hAnsi="Calibri"/>
          <w:b/>
          <w:bCs/>
          <w:color w:val="2E75B6"/>
          <w:sz w:val="26"/>
          <w:szCs w:val="26"/>
        </w:rPr>
        <w:t xml:space="preserve">2.3. Scope profile — what a pilot explicitly excludes</w:t>
      </w:r>
    </w:p>
    <w:p>
      <w:pPr>
        <w:pStyle w:val="ListParagraph"/>
        <w:numPr>
          <w:ilvl w:val="0"/>
          <w:numId w:val="1"/>
        </w:numPr>
        <w:spacing w:after="80"/>
      </w:pPr>
      <w:r>
        <w:rPr>
          <w:rFonts w:ascii="Calibri" w:cs="Calibri" w:eastAsia="Calibri" w:hAnsi="Calibri"/>
          <w:color w:val="262626"/>
          <w:sz w:val="22"/>
          <w:szCs w:val="22"/>
        </w:rPr>
        <w:t xml:space="preserve">Any scope expansion during the ten-week window. Scope creep is the single largest predictor of pilot failure across the industry and is refused by the pilot owner without exception.</w:t>
      </w:r>
    </w:p>
    <w:p>
      <w:pPr>
        <w:pStyle w:val="ListParagraph"/>
        <w:numPr>
          <w:ilvl w:val="0"/>
          <w:numId w:val="1"/>
        </w:numPr>
        <w:spacing w:after="80"/>
      </w:pPr>
      <w:r>
        <w:rPr>
          <w:rFonts w:ascii="Calibri" w:cs="Calibri" w:eastAsia="Calibri" w:hAnsi="Calibri"/>
          <w:color w:val="262626"/>
          <w:sz w:val="22"/>
          <w:szCs w:val="22"/>
        </w:rPr>
        <w:t xml:space="preserve">Multi-tenant configurations. The first pilot for any customer runs single-tenant even if the target deployment is multi-tenant; multi-tenancy is validated in a subsequent pilot after the first has produced clean go/no-go evidence.</w:t>
      </w:r>
    </w:p>
    <w:p>
      <w:pPr>
        <w:pStyle w:val="ListParagraph"/>
        <w:numPr>
          <w:ilvl w:val="0"/>
          <w:numId w:val="1"/>
        </w:numPr>
        <w:spacing w:after="80"/>
      </w:pPr>
      <w:r>
        <w:rPr>
          <w:rFonts w:ascii="Calibri" w:cs="Calibri" w:eastAsia="Calibri" w:hAnsi="Calibri"/>
          <w:color w:val="262626"/>
          <w:sz w:val="22"/>
          <w:szCs w:val="22"/>
        </w:rPr>
        <w:t xml:space="preserve">Experimental bundles or custom controls not in the v11.4 registry. The 36 controls and 19 bundles are fixed for the pilot window; new controls can be proposed for v11.5 but are out of scope.</w:t>
      </w:r>
    </w:p>
    <w:p>
      <w:pPr>
        <w:pStyle w:val="ListParagraph"/>
        <w:numPr>
          <w:ilvl w:val="0"/>
          <w:numId w:val="1"/>
        </w:numPr>
        <w:spacing w:after="80"/>
      </w:pPr>
      <w:r>
        <w:rPr>
          <w:rFonts w:ascii="Calibri" w:cs="Calibri" w:eastAsia="Calibri" w:hAnsi="Calibri"/>
          <w:color w:val="262626"/>
          <w:sz w:val="22"/>
          <w:szCs w:val="22"/>
        </w:rPr>
        <w:t xml:space="preserve">Integration with production workloads beyond the agreed scope envelope. If the pilot is for a single port terminal, other terminals are out of scope; if it is for Pix fraud detection, AML onboarding is out of scope.</w:t>
      </w:r>
    </w:p>
    <w:p>
      <w:pPr>
        <w:pStyle w:val="ListParagraph"/>
        <w:numPr>
          <w:ilvl w:val="0"/>
          <w:numId w:val="1"/>
        </w:numPr>
        <w:spacing w:after="80"/>
      </w:pPr>
      <w:r>
        <w:rPr>
          <w:rFonts w:ascii="Calibri" w:cs="Calibri" w:eastAsia="Calibri" w:hAnsi="Calibri"/>
          <w:color w:val="262626"/>
          <w:sz w:val="22"/>
          <w:szCs w:val="22"/>
        </w:rPr>
        <w:t xml:space="preserve">Promotion to autonomy level A3 or A4 during the pilot window. Pilots run agents at A1 or A2 only; higher autonomy levels require the full promotion gate sequence documented in AUT-C01 through AUT-C05.</w:t>
      </w:r>
    </w:p>
    <w:p>
      <w:pPr>
        <w:spacing w:after="120"/>
      </w:pPr>
      <w:r>
        <w:rPr>
          <w:rFonts w:ascii="Calibri" w:cs="Calibri" w:eastAsia="Calibri" w:hAnsi="Calibri"/>
        </w:rPr>
        <w:t xml:space="preserve"> </w:t>
      </w:r>
    </w:p>
    <w:p>
      <w:pPr>
        <w:pStyle w:val="Heading1"/>
        <w:spacing w:after="180" w:before="360"/>
      </w:pPr>
      <w:r>
        <w:rPr>
          <w:rFonts w:ascii="Calibri" w:cs="Calibri" w:eastAsia="Calibri" w:hAnsi="Calibri"/>
          <w:b/>
          <w:bCs/>
          <w:color w:val="1F3864"/>
          <w:sz w:val="32"/>
          <w:szCs w:val="32"/>
        </w:rPr>
        <w:t xml:space="preserve">3. RACI Matrix</w:t>
      </w:r>
    </w:p>
    <w:p>
      <w:pPr>
        <w:spacing w:after="140" w:line="300"/>
        <w:jc w:val="both"/>
      </w:pPr>
      <w:r>
        <w:rPr>
          <w:rFonts w:ascii="Calibri" w:cs="Calibri" w:eastAsia="Calibri" w:hAnsi="Calibri"/>
          <w:color w:val="262626"/>
          <w:sz w:val="22"/>
          <w:szCs w:val="22"/>
        </w:rPr>
        <w:t xml:space="preserve">The RACI matrix assigns responsibility for each of the fifteen pilot activities across seven roles. The roles are defined below the matrix. Any role unfilled at kickoff is a blocker that delays the kickoff gate.</w:t>
      </w:r>
    </w:p>
    <w:tbl>
      <w:tblPr>
        <w:tblW w:type="pct" w:w="100%"/>
        <w:tblBorders>
          <w:top w:val="single" w:color="BFBFBF" w:sz="6"/>
          <w:left w:val="single" w:color="BFBFBF" w:sz="6"/>
          <w:bottom w:val="single" w:color="BFBFBF" w:sz="6"/>
          <w:right w:val="single" w:color="BFBFBF" w:sz="6"/>
          <w:insideH w:val="single" w:color="BFBFBF" w:sz="4"/>
          <w:insideV w:val="single" w:color="BFBFBF" w:sz="4"/>
        </w:tblBorders>
      </w:tblPr>
      <w:tblGrid>
        <w:gridCol w:w="100"/>
        <w:gridCol w:w="100"/>
        <w:gridCol w:w="100"/>
        <w:gridCol w:w="100"/>
        <w:gridCol w:w="100"/>
        <w:gridCol w:w="100"/>
        <w:gridCol w:w="100"/>
        <w:gridCol w:w="100"/>
      </w:tblGrid>
      <w:tr>
        <w:trPr>
          <w:tblHeader/>
        </w:trPr>
        <w:tc>
          <w:tcPr>
            <w:tcW w:type="dxa" w:w="40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Activity</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SPO</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TL</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SecO</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SRE</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BSO</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Aud</w:t>
            </w:r>
          </w:p>
        </w:tc>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Exec</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Kickoff and scope freeze</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ATK service deployment (Helm install)</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Bundle configuration per pilot</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Hardened client credentials provisioning</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Evidence collection setup (EGA + metrics)</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Daily evidence review</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Weekly status report to sponsor</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Rollback drill (week 6)</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Mid-pilot review (week 5)</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Metric collection and validation</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Incident response (if triggered)</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Go/no-go scorecard completion</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Evidence package assembly</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I</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Go/no-go decision meeting</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r>
      <w:tr>
        <w:tc>
          <w:tcPr>
            <w:tcW w:type="dxa" w:w="4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Post-pilot retrospective</w:t>
            </w:r>
          </w:p>
        </w:tc>
        <w:tc>
          <w:tcPr>
            <w:tcW w:type="dxa" w:w="9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A</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R</w:t>
            </w:r>
          </w:p>
        </w:tc>
        <w:tc>
          <w:tcPr>
            <w:tcW w:type="dxa" w:w="9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C</w:t>
            </w:r>
          </w:p>
        </w:tc>
      </w:tr>
    </w:tbl>
    <w:p>
      <w:pPr>
        <w:spacing w:after="120"/>
      </w:pPr>
      <w:r>
        <w:rPr>
          <w:rFonts w:ascii="Calibri" w:cs="Calibri" w:eastAsia="Calibri" w:hAnsi="Calibri"/>
        </w:rPr>
        <w:t xml:space="preserve"> </w:t>
      </w:r>
    </w:p>
    <w:p>
      <w:pPr>
        <w:pStyle w:val="Heading3"/>
        <w:spacing w:after="100" w:before="200"/>
      </w:pPr>
      <w:r>
        <w:rPr>
          <w:rFonts w:ascii="Calibri" w:cs="Calibri" w:eastAsia="Calibri" w:hAnsi="Calibri"/>
          <w:b/>
          <w:bCs/>
          <w:color w:val="1F3864"/>
          <w:sz w:val="22"/>
          <w:szCs w:val="22"/>
        </w:rPr>
        <w:t xml:space="preserve">Role definitions</w:t>
      </w:r>
    </w:p>
    <w:p>
      <w:pPr>
        <w:pStyle w:val="ListParagraph"/>
        <w:numPr>
          <w:ilvl w:val="0"/>
          <w:numId w:val="1"/>
        </w:numPr>
        <w:spacing w:after="80"/>
      </w:pPr>
      <w:r>
        <w:rPr>
          <w:rFonts w:ascii="Calibri" w:cs="Calibri" w:eastAsia="Calibri" w:hAnsi="Calibri"/>
          <w:color w:val="262626"/>
          <w:sz w:val="22"/>
          <w:szCs w:val="22"/>
        </w:rPr>
        <w:t xml:space="preserve">SPO — Sponsor: the executive who commissioned the pilot and who owns the go/no-go decision.</w:t>
      </w:r>
    </w:p>
    <w:p>
      <w:pPr>
        <w:pStyle w:val="ListParagraph"/>
        <w:numPr>
          <w:ilvl w:val="0"/>
          <w:numId w:val="1"/>
        </w:numPr>
        <w:spacing w:after="80"/>
      </w:pPr>
      <w:r>
        <w:rPr>
          <w:rFonts w:ascii="Calibri" w:cs="Calibri" w:eastAsia="Calibri" w:hAnsi="Calibri"/>
          <w:color w:val="262626"/>
          <w:sz w:val="22"/>
          <w:szCs w:val="22"/>
        </w:rPr>
        <w:t xml:space="preserve">TL — Technical Lead: the engineer responsible for the ATK deployment, bundle configuration, and runtime health.</w:t>
      </w:r>
    </w:p>
    <w:p>
      <w:pPr>
        <w:pStyle w:val="ListParagraph"/>
        <w:numPr>
          <w:ilvl w:val="0"/>
          <w:numId w:val="1"/>
        </w:numPr>
        <w:spacing w:after="80"/>
      </w:pPr>
      <w:r>
        <w:rPr>
          <w:rFonts w:ascii="Calibri" w:cs="Calibri" w:eastAsia="Calibri" w:hAnsi="Calibri"/>
          <w:color w:val="262626"/>
          <w:sz w:val="22"/>
          <w:szCs w:val="22"/>
        </w:rPr>
        <w:t xml:space="preserve">SecO — Security Officer: the owner of credentials, policy approvals, and incident escalation.</w:t>
      </w:r>
    </w:p>
    <w:p>
      <w:pPr>
        <w:pStyle w:val="ListParagraph"/>
        <w:numPr>
          <w:ilvl w:val="0"/>
          <w:numId w:val="1"/>
        </w:numPr>
        <w:spacing w:after="80"/>
      </w:pPr>
      <w:r>
        <w:rPr>
          <w:rFonts w:ascii="Calibri" w:cs="Calibri" w:eastAsia="Calibri" w:hAnsi="Calibri"/>
          <w:color w:val="262626"/>
          <w:sz w:val="22"/>
          <w:szCs w:val="22"/>
        </w:rPr>
        <w:t xml:space="preserve">SRE — Site Reliability Engineer: the owner of observability, HPA tuning, and the rollback drill.</w:t>
      </w:r>
    </w:p>
    <w:p>
      <w:pPr>
        <w:pStyle w:val="ListParagraph"/>
        <w:numPr>
          <w:ilvl w:val="0"/>
          <w:numId w:val="1"/>
        </w:numPr>
        <w:spacing w:after="80"/>
      </w:pPr>
      <w:r>
        <w:rPr>
          <w:rFonts w:ascii="Calibri" w:cs="Calibri" w:eastAsia="Calibri" w:hAnsi="Calibri"/>
          <w:color w:val="262626"/>
          <w:sz w:val="22"/>
          <w:szCs w:val="22"/>
        </w:rPr>
        <w:t xml:space="preserve">BSO — Business Stakeholder: the business owner of the use case whose KPIs are measured for degradation.</w:t>
      </w:r>
    </w:p>
    <w:p>
      <w:pPr>
        <w:pStyle w:val="ListParagraph"/>
        <w:numPr>
          <w:ilvl w:val="0"/>
          <w:numId w:val="1"/>
        </w:numPr>
        <w:spacing w:after="80"/>
      </w:pPr>
      <w:r>
        <w:rPr>
          <w:rFonts w:ascii="Calibri" w:cs="Calibri" w:eastAsia="Calibri" w:hAnsi="Calibri"/>
          <w:color w:val="262626"/>
          <w:sz w:val="22"/>
          <w:szCs w:val="22"/>
        </w:rPr>
        <w:t xml:space="preserve">Aud — Auditor: the independent reviewer (internal or external) who validates evidence and signs the go/no-go.</w:t>
      </w:r>
    </w:p>
    <w:p>
      <w:pPr>
        <w:pStyle w:val="ListParagraph"/>
        <w:numPr>
          <w:ilvl w:val="0"/>
          <w:numId w:val="1"/>
        </w:numPr>
        <w:spacing w:after="80"/>
      </w:pPr>
      <w:r>
        <w:rPr>
          <w:rFonts w:ascii="Calibri" w:cs="Calibri" w:eastAsia="Calibri" w:hAnsi="Calibri"/>
          <w:color w:val="262626"/>
          <w:sz w:val="22"/>
          <w:szCs w:val="22"/>
        </w:rPr>
        <w:t xml:space="preserve">Exec — Executive Decision Maker: the person with formal authority to approve scale-up post-pilot.</w:t>
      </w:r>
    </w:p>
    <w:p>
      <w:pPr>
        <w:spacing w:after="140" w:line="300"/>
        <w:jc w:val="both"/>
      </w:pPr>
      <w:r>
        <w:rPr>
          <w:rFonts w:ascii="Calibri" w:cs="Calibri" w:eastAsia="Calibri" w:hAnsi="Calibri"/>
          <w:color w:val="262626"/>
          <w:sz w:val="22"/>
          <w:szCs w:val="22"/>
        </w:rPr>
        <w:t xml:space="preserve">Codes: R = Responsible (does the work), A = Accountable (owns the outcome), C = Consulted (input required), I = Informed (kept in the loop). An activity must have exactly one Accountable and at least one Responsible.</w:t>
      </w:r>
    </w:p>
    <w:p>
      <w:r>
        <w:br w:type="page"/>
      </w:r>
    </w:p>
    <w:p>
      <w:pPr>
        <w:pStyle w:val="Heading1"/>
        <w:spacing w:after="180" w:before="360"/>
      </w:pPr>
      <w:r>
        <w:rPr>
          <w:rFonts w:ascii="Calibri" w:cs="Calibri" w:eastAsia="Calibri" w:hAnsi="Calibri"/>
          <w:b/>
          <w:bCs/>
          <w:color w:val="1F3864"/>
          <w:sz w:val="32"/>
          <w:szCs w:val="32"/>
        </w:rPr>
        <w:t xml:space="preserve">4. Ten-Week Timeline</w:t>
      </w:r>
    </w:p>
    <w:p>
      <w:pPr>
        <w:spacing w:after="140" w:line="300"/>
        <w:jc w:val="both"/>
      </w:pPr>
      <w:r>
        <w:rPr>
          <w:rFonts w:ascii="Calibri" w:cs="Calibri" w:eastAsia="Calibri" w:hAnsi="Calibri"/>
          <w:color w:val="262626"/>
          <w:sz w:val="22"/>
          <w:szCs w:val="22"/>
        </w:rPr>
        <w:t xml:space="preserve">The timeline is fixed at ten weeks with four formal gates. Each gate requires explicit written approval from the Accountable parties identified in the RACI matrix before the pilot proceeds to the next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Week</w:t>
            </w:r>
          </w:p>
        </w:tc>
        <w:tc>
          <w:tcPr>
            <w:tcW w:type="dxa" w:w="22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Phase</w:t>
            </w:r>
          </w:p>
        </w:tc>
        <w:tc>
          <w:tcPr>
            <w:tcW w:type="dxa" w:w="5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Activities</w:t>
            </w:r>
          </w:p>
        </w:tc>
        <w:tc>
          <w:tcPr>
            <w:tcW w:type="dxa" w:w="18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Gate</w:t>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W0</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Pre-kickoff</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Scope freeze with sponsor. RACI populated and signed. Pilot-specific values file selected (SPRBUN, Brasil, or HFL). Secrets provisioned in target namespace. Audit committee briefed.</w:t>
            </w:r>
          </w:p>
        </w:tc>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G0 — Scope Freeze</w:t>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W1</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Deployment</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Helm install with pilot values. ATK service running with all 19 bundles loaded and configured subset enabled. Hardened clients attested at startup (ATK-C07). CI/CD pipeline configured on pilot branch.</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W2</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Deployment</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Integration with real upstreams validated end-to-end. Happy-path envelope flow measured. Observability stack (Prometheus, Grafana, ServiceMonitor) producing metrics. Dashboard panels populated.</w:t>
            </w:r>
          </w:p>
        </w:tc>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G1 — Deployment</w:t>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W3</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Shadow operation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ATK operates in shadow mode if not already (for HFL it stays shadow throughout). Decisions recorded to EGA but not enforced. Daily evidence review begins.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W4</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Shadow operation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First weekly status report to sponsor. Metric baselines established for the eight measures. Any false positive from bundles identified and triaged.</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W5</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Mid-pilot</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Mid-pilot review with sponsor, business stakeholder, and auditor. Transition from shadow to enforce mode if business metrics are clean (SPRBUN and Brasil only; HFL remains shadow). Go/no-go trajectory assessment.</w:t>
            </w:r>
          </w:p>
        </w:tc>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G2 — Mid-pilot</w:t>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W6</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Rollback drill</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Rollback drill executed per script in Section 7. Helm rollback to previous revision. ATK service re-verified. Drill outcome recorded. No production impact expected; drill runs during low-traffic window.</w:t>
            </w:r>
          </w:p>
        </w:tc>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G3 — Drill Pass</w:t>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W7</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Steady-state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Full production load with all selected bundles enforcing (shadow for HFL). Metric collection continues. Any incident triggers the incident response runbooks.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W8</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Steady-state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Auditor performs independent evidence sampling. Ledger chain of custody verified. Attestation documents reviewed against ATK-C07 baseline. Any gaps flagged for remediation before W10.</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W9</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Evidence assembly</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Evidence package assembled per Section 9 template. Eight metrics with documented collection procedures. Go/no-go scorecard completed and reviewed by all RACI Accountables.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W10</w:t>
            </w:r>
          </w:p>
        </w:tc>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Go/no-go</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Go/no-go decision meeting. Scorecard presented. Decision documented and signed. If go, scale-up plan initiated. If no-go, remediation plan documented with concrete dates.</w:t>
            </w:r>
          </w:p>
        </w:tc>
        <w:tc>
          <w:tcPr>
            <w:tcW w:type="dxa" w:w="2000"/>
            <w:shd w:fill="E2EFDA"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G4 — Go/No-Go</w:t>
            </w:r>
          </w:p>
        </w:tc>
      </w:tr>
    </w:tbl>
    <w:p>
      <w:r>
        <w:br w:type="page"/>
      </w:r>
    </w:p>
    <w:p>
      <w:pPr>
        <w:pStyle w:val="Heading1"/>
        <w:spacing w:after="180" w:before="360"/>
      </w:pPr>
      <w:r>
        <w:rPr>
          <w:rFonts w:ascii="Calibri" w:cs="Calibri" w:eastAsia="Calibri" w:hAnsi="Calibri"/>
          <w:b/>
          <w:bCs/>
          <w:color w:val="1F3864"/>
          <w:sz w:val="32"/>
          <w:szCs w:val="32"/>
        </w:rPr>
        <w:t xml:space="preserve">5. Eight Operational Metrics</w:t>
      </w:r>
    </w:p>
    <w:p>
      <w:pPr>
        <w:spacing w:after="140" w:line="300"/>
        <w:jc w:val="both"/>
      </w:pPr>
      <w:r>
        <w:rPr>
          <w:rFonts w:ascii="Calibri" w:cs="Calibri" w:eastAsia="Calibri" w:hAnsi="Calibri"/>
          <w:color w:val="262626"/>
          <w:sz w:val="22"/>
          <w:szCs w:val="22"/>
        </w:rPr>
        <w:t xml:space="preserve">The pilot collects eight metrics continuously from week 1. Each metric has a name, a collection procedure, a target, and a source instrument. Metrics are reviewed daily by the Technical Lead and the SRE, weekly by the Sponsor, and at the mid-pilot and go/no-go gates by the Auditor. All eight are prerequisites for the go/no-go scorecard in Section 8.</w:t>
      </w:r>
    </w:p>
    <w:p>
      <w:pPr>
        <w:pStyle w:val="Heading3"/>
        <w:spacing w:after="100" w:before="200"/>
      </w:pPr>
      <w:r>
        <w:rPr>
          <w:rFonts w:ascii="Calibri" w:cs="Calibri" w:eastAsia="Calibri" w:hAnsi="Calibri"/>
          <w:b/>
          <w:bCs/>
          <w:color w:val="1F3864"/>
          <w:sz w:val="22"/>
          <w:szCs w:val="22"/>
        </w:rPr>
        <w:t xml:space="preserve">M1 — Envelope decision latency p99</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p99 ≤ 150 ms (Brasil: ≤ 100 ms; HFL: ≤ 20 ms)</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Collected from Prometheus histogram arhiax_atk_envelope_latency_seconds with pilot label. Aggregated daily and reported as a rolling seven-day p99 window.</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Prometheus + Grafana panel in the pilot-specific dashboard.</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The primary SLO. Any sustained breach of p99 target for more than two consecutive hours triggers an SRE investigation and is logged in the weekly status report.</w:t>
      </w:r>
    </w:p>
    <w:p>
      <w:pPr>
        <w:pStyle w:val="Heading3"/>
        <w:spacing w:after="100" w:before="200"/>
      </w:pPr>
      <w:r>
        <w:rPr>
          <w:rFonts w:ascii="Calibri" w:cs="Calibri" w:eastAsia="Calibri" w:hAnsi="Calibri"/>
          <w:b/>
          <w:bCs/>
          <w:color w:val="1F3864"/>
          <w:sz w:val="22"/>
          <w:szCs w:val="22"/>
        </w:rPr>
        <w:t xml:space="preserve">M2 — Bundle decision distribution</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Less than 15% of envelopes result in DENY_WITH_INCIDENT across any seven-day window, and less than 2% result in it during shadow observation.</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Collected from arhiax_atk_decisions_total counter aggregated by outcome label. Daily breakdown produced.</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Prometheus + Grafana panel. Also cross-verified against EGA ledger entries.</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A sudden spike in DENY_WITH_INCIDENT indicates either a real attack pattern or a bundle misconfiguration. Both require investigation.</w:t>
      </w:r>
    </w:p>
    <w:p>
      <w:pPr>
        <w:pStyle w:val="Heading3"/>
        <w:spacing w:after="100" w:before="200"/>
      </w:pPr>
      <w:r>
        <w:rPr>
          <w:rFonts w:ascii="Calibri" w:cs="Calibri" w:eastAsia="Calibri" w:hAnsi="Calibri"/>
          <w:b/>
          <w:bCs/>
          <w:color w:val="1F3864"/>
          <w:sz w:val="22"/>
          <w:szCs w:val="22"/>
        </w:rPr>
        <w:t xml:space="preserve">M3 — Hardened client health</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arhiax_client_circuit_state == 0 (CLOSED) for all six clients at all times outside of planned maintenance windows. Upstream error rate less than 5%.</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Collected from arhiax_client_circuit_state gauge and arhiax_client_requests_total counter. Alert fires after 1 minute of OPEN state.</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Prometheus alerts routed to PagerDuty, Slack, or equivalent.</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Circuit breaker trips are the single most sensitive indicator of upstream health. Any open circuit during steady-state is an incident.</w:t>
      </w:r>
    </w:p>
    <w:p>
      <w:pPr>
        <w:pStyle w:val="Heading3"/>
        <w:spacing w:after="100" w:before="200"/>
      </w:pPr>
      <w:r>
        <w:rPr>
          <w:rFonts w:ascii="Calibri" w:cs="Calibri" w:eastAsia="Calibri" w:hAnsi="Calibri"/>
          <w:b/>
          <w:bCs/>
          <w:color w:val="1F3864"/>
          <w:sz w:val="22"/>
          <w:szCs w:val="22"/>
        </w:rPr>
        <w:t xml:space="preserve">M4 — Evidence ledger integrity</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100% of envelopes produce corresponding EGA entries within 5 seconds. Chain of custody verifiable for every sampled envelope.</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Daily reconciliation between ATK envelope counter and EGA append counter. Weekly random sampling of 100 envelopes with manual chain verification.</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ATK counters + EGA query API + auditor sampling script.</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A gap between envelope count and EGA entries indicates a critical evidence loss event. Any discrepancy is an immediate incident.</w:t>
      </w:r>
    </w:p>
    <w:p>
      <w:pPr>
        <w:pStyle w:val="Heading3"/>
        <w:spacing w:after="100" w:before="200"/>
      </w:pPr>
      <w:r>
        <w:rPr>
          <w:rFonts w:ascii="Calibri" w:cs="Calibri" w:eastAsia="Calibri" w:hAnsi="Calibri"/>
          <w:b/>
          <w:bCs/>
          <w:color w:val="1F3864"/>
          <w:sz w:val="22"/>
          <w:szCs w:val="22"/>
        </w:rPr>
        <w:t xml:space="preserve">M5 — Business KPI degradation</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No more than 2% absolute degradation in the primary business KPI of the use case vs. the pre-pilot baseline.</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Defined at kickoff with the Business Stakeholder. For SPRBUN: vessel turnaround time. For Brasil: Pix transaction approval rate. For HFL: arbitrage opportunity capture rate. Measured weekly against baseline.</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Business-owned dashboards, reconciled with ATK envelope outcomes.</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The non-negotiable constraint. If ARHIAX degrades the business it is meant to govern, the pilot halts regardless of other metrics.</w:t>
      </w:r>
    </w:p>
    <w:p>
      <w:pPr>
        <w:pStyle w:val="Heading3"/>
        <w:spacing w:after="100" w:before="200"/>
      </w:pPr>
      <w:r>
        <w:rPr>
          <w:rFonts w:ascii="Calibri" w:cs="Calibri" w:eastAsia="Calibri" w:hAnsi="Calibri"/>
          <w:b/>
          <w:bCs/>
          <w:color w:val="1F3864"/>
          <w:sz w:val="22"/>
          <w:szCs w:val="22"/>
        </w:rPr>
        <w:t xml:space="preserve">M6 — False positive rate</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Less than 3% of ENFORCE mode denials are subsequently reclassified as false positives by the Security Officer.</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Every DENY outcome is reviewed within 24 hours by the Security Officer. Reclassifications logged with justification.</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Manual review log + EGA query cross-reference.</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High false positive rates erode trust with the business team and predict pilot failure. A bundle with more than 10% false positives is tuned or disabled.</w:t>
      </w:r>
    </w:p>
    <w:p>
      <w:pPr>
        <w:pStyle w:val="Heading3"/>
        <w:spacing w:after="100" w:before="200"/>
      </w:pPr>
      <w:r>
        <w:rPr>
          <w:rFonts w:ascii="Calibri" w:cs="Calibri" w:eastAsia="Calibri" w:hAnsi="Calibri"/>
          <w:b/>
          <w:bCs/>
          <w:color w:val="1F3864"/>
          <w:sz w:val="22"/>
          <w:szCs w:val="22"/>
        </w:rPr>
        <w:t xml:space="preserve">M7 — Incident response time</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Mean time to first response for HIC-escalated incidents less than 10 minutes during business hours; less than 30 minutes outside.</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Time from HIC ticket creation to first human acknowledgment. Measured per ticket and aggregated weekly.</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HIC system timestamps.</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Slow response times indicate that HIC-5 escalation paths are not real. Any incident without acknowledgment within 1 hour is escalated to the Sponsor.</w:t>
      </w:r>
    </w:p>
    <w:p>
      <w:pPr>
        <w:pStyle w:val="Heading3"/>
        <w:spacing w:after="100" w:before="200"/>
      </w:pPr>
      <w:r>
        <w:rPr>
          <w:rFonts w:ascii="Calibri" w:cs="Calibri" w:eastAsia="Calibri" w:hAnsi="Calibri"/>
          <w:b/>
          <w:bCs/>
          <w:color w:val="1F3864"/>
          <w:sz w:val="22"/>
          <w:szCs w:val="22"/>
        </w:rPr>
        <w:t xml:space="preserve">M8 — Test suite health</w:t>
      </w:r>
    </w:p>
    <w:p>
      <w:pPr>
        <w:spacing w:after="80"/>
      </w:pPr>
      <w:r>
        <w:rPr>
          <w:rFonts w:ascii="Calibri" w:cs="Calibri" w:eastAsia="Calibri" w:hAnsi="Calibri"/>
          <w:b/>
          <w:bCs/>
          <w:color w:val="1F3864"/>
          <w:sz w:val="20"/>
          <w:szCs w:val="20"/>
        </w:rPr>
        <w:t xml:space="preserve">Target: </w:t>
      </w:r>
      <w:r>
        <w:rPr>
          <w:rFonts w:ascii="Calibri" w:cs="Calibri" w:eastAsia="Calibri" w:hAnsi="Calibri"/>
          <w:color w:val="262626"/>
          <w:sz w:val="20"/>
          <w:szCs w:val="20"/>
        </w:rPr>
        <w:t xml:space="preserve">100% of the 254 test suite (144 pytest + 110 opa test) passes on every CI run during the pilot. No skipped tests.</w:t>
      </w:r>
    </w:p>
    <w:p>
      <w:pPr>
        <w:spacing w:after="80"/>
      </w:pPr>
      <w:r>
        <w:rPr>
          <w:rFonts w:ascii="Calibri" w:cs="Calibri" w:eastAsia="Calibri" w:hAnsi="Calibri"/>
          <w:b/>
          <w:bCs/>
          <w:color w:val="1F3864"/>
          <w:sz w:val="20"/>
          <w:szCs w:val="20"/>
        </w:rPr>
        <w:t xml:space="preserve">Collection: </w:t>
      </w:r>
      <w:r>
        <w:rPr>
          <w:rFonts w:ascii="Calibri" w:cs="Calibri" w:eastAsia="Calibri" w:hAnsi="Calibri"/>
          <w:color w:val="262626"/>
          <w:sz w:val="20"/>
          <w:szCs w:val="20"/>
        </w:rPr>
        <w:t xml:space="preserve">CI pipeline results reviewed daily. Any test failure blocks deployment.</w:t>
      </w:r>
    </w:p>
    <w:p>
      <w:pPr>
        <w:spacing w:after="80"/>
      </w:pPr>
      <w:r>
        <w:rPr>
          <w:rFonts w:ascii="Calibri" w:cs="Calibri" w:eastAsia="Calibri" w:hAnsi="Calibri"/>
          <w:b/>
          <w:bCs/>
          <w:color w:val="1F3864"/>
          <w:sz w:val="20"/>
          <w:szCs w:val="20"/>
        </w:rPr>
        <w:t xml:space="preserve">Source: </w:t>
      </w:r>
      <w:r>
        <w:rPr>
          <w:rFonts w:ascii="Calibri" w:cs="Calibri" w:eastAsia="Calibri" w:hAnsi="Calibri"/>
          <w:color w:val="262626"/>
          <w:sz w:val="20"/>
          <w:szCs w:val="20"/>
        </w:rPr>
        <w:t xml:space="preserve">GitHub Actions run history + test artifacts.</w:t>
      </w:r>
    </w:p>
    <w:p>
      <w:pPr>
        <w:spacing w:after="160"/>
      </w:pPr>
      <w:r>
        <w:rPr>
          <w:rFonts w:ascii="Calibri" w:cs="Calibri" w:eastAsia="Calibri" w:hAnsi="Calibri"/>
          <w:b/>
          <w:bCs/>
          <w:color w:val="1F3864"/>
          <w:sz w:val="20"/>
          <w:szCs w:val="20"/>
        </w:rPr>
        <w:t xml:space="preserve">Interpretation: </w:t>
      </w:r>
      <w:r>
        <w:rPr>
          <w:rFonts w:ascii="Calibri" w:cs="Calibri" w:eastAsia="Calibri" w:hAnsi="Calibri"/>
          <w:color w:val="262626"/>
          <w:sz w:val="20"/>
          <w:szCs w:val="20"/>
        </w:rPr>
        <w:t xml:space="preserve">The test suite is the single source of truth for bundle behavior. Any flaky or disabled test is an integrity risk and is resolved before the next metric report.</w:t>
      </w:r>
    </w:p>
    <w:p>
      <w:r>
        <w:br w:type="page"/>
      </w:r>
    </w:p>
    <w:p>
      <w:pPr>
        <w:pStyle w:val="Heading1"/>
        <w:spacing w:after="180" w:before="360"/>
      </w:pPr>
      <w:r>
        <w:rPr>
          <w:rFonts w:ascii="Calibri" w:cs="Calibri" w:eastAsia="Calibri" w:hAnsi="Calibri"/>
          <w:b/>
          <w:bCs/>
          <w:color w:val="1F3864"/>
          <w:sz w:val="32"/>
          <w:szCs w:val="32"/>
        </w:rPr>
        <w:t xml:space="preserve">6. Control Coverage Verification</w:t>
      </w:r>
    </w:p>
    <w:p>
      <w:pPr>
        <w:spacing w:after="140" w:line="300"/>
        <w:jc w:val="both"/>
      </w:pPr>
      <w:r>
        <w:rPr>
          <w:rFonts w:ascii="Calibri" w:cs="Calibri" w:eastAsia="Calibri" w:hAnsi="Calibri"/>
          <w:color w:val="262626"/>
          <w:sz w:val="22"/>
          <w:szCs w:val="22"/>
        </w:rPr>
        <w:t xml:space="preserve">The pilot verifies that the 36 governance controls in the ARHIAX v11.4 registry are actually exercised by the pilot workload. A control that is specified but never exercised during the pilot is recorded as "untested" in the evidence package, which is not the same as "unverified" but reduces the go/no-go scorecard.</w:t>
      </w:r>
    </w:p>
    <w:p>
      <w:pPr>
        <w:spacing w:after="140" w:line="300"/>
        <w:jc w:val="both"/>
      </w:pPr>
      <w:r>
        <w:rPr>
          <w:rFonts w:ascii="Calibri" w:cs="Calibri" w:eastAsia="Calibri" w:hAnsi="Calibri"/>
          <w:color w:val="262626"/>
          <w:sz w:val="22"/>
          <w:szCs w:val="22"/>
        </w:rPr>
        <w:t xml:space="preserve">Control exercise is measured by cross-referencing EGA ledger entries against the control registry. Each control has a fingerprint — the combination of bundle ID, decision outcome, and evidence type — that allows automated verification. The Auditor runs this verification weekly during steady-state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Control family</w:t>
            </w:r>
          </w:p>
        </w:tc>
        <w:tc>
          <w:tcPr>
            <w:tcW w:type="dxa" w:w="12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Controls</w:t>
            </w:r>
          </w:p>
        </w:tc>
        <w:tc>
          <w:tcPr>
            <w:tcW w:type="dxa" w:w="18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Primary bundle</w:t>
            </w:r>
          </w:p>
        </w:tc>
        <w:tc>
          <w:tcPr>
            <w:tcW w:type="dxa" w:w="44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Minimum exercise during pilot</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ATK (Agentic Trust Kernel)</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ATK-C01..C07 (7)</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B01, B04, B17</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 least 1 envelope per outcome type (6 outcomes). Startup attestation captured. Ledger integrity verified at least once weekly.</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DTG (D-TCG+)</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DTG-C01..C05 (5)</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B03, B06, BBR</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 least 1 cross-domain correlation event recorded. At least 1 behavioral baseline scoring cycle executed.</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AIM (Agent Identity)</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AIM-C01..C03 (3)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 least 1 credential issuance, 1 validation, 1 revocation recorded in EGA.</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AUT (Autonomy)</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AUT-C01..C05 (5)</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B07, B16</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Pilot runs agents at A1 or A2. At least 1 promotion attempt (or denial) recorded. At least 1 requalification cycle.</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ABO (AIBOM)</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ABO-C01..C03 (3)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B11</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 least 1 component registration, 1 hash verification, 1 lifecycle transition recorded.</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(Human-in-Loop)</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HIC-1..HIC-5 (5)</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B18, HIC service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 least 1 ticket per escalation level opened. Mean response time measured (metric M7).</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POL (Policy/governance)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POL-C01..C04 (4)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B19</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 least 1 policy change captured. Change management audit trail verified.</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DAT (Data residency/PII)</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DAT-C01..C04 (4)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B11, B13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Brasil pilot: STRICT PII detection exercised with at least 10 samples. Other pilots: residency enforcement verified.</w:t>
            </w:r>
          </w:p>
        </w:tc>
      </w:tr>
    </w:tbl>
    <w:p>
      <w:pPr>
        <w:spacing w:after="120"/>
      </w:pPr>
      <w:r>
        <w:rPr>
          <w:rFonts w:ascii="Calibri" w:cs="Calibri" w:eastAsia="Calibri" w:hAnsi="Calibri"/>
        </w:rPr>
        <w:t xml:space="preserve"> </w:t>
      </w:r>
    </w:p>
    <w:p>
      <w:pPr>
        <w:spacing w:after="140" w:line="300"/>
        <w:jc w:val="both"/>
      </w:pPr>
      <w:r>
        <w:rPr>
          <w:rFonts w:ascii="Calibri" w:cs="Calibri" w:eastAsia="Calibri" w:hAnsi="Calibri"/>
          <w:color w:val="262626"/>
          <w:sz w:val="22"/>
          <w:szCs w:val="22"/>
        </w:rPr>
        <w:t xml:space="preserve">Total controls: 36. A pilot that exercises all 36 earns the full 30 points allocated to control coverage in the go/no-go scorecard (Section 8). A pilot that exercises 30 or more earns partial points (20/30). Fewer than 30 exercised controls caps the scorecard total at 70 out of 100, which fails the 85/100 threshold automatically.</w:t>
      </w:r>
    </w:p>
    <w:p>
      <w:r>
        <w:br w:type="page"/>
      </w:r>
    </w:p>
    <w:p>
      <w:pPr>
        <w:pStyle w:val="Heading1"/>
        <w:spacing w:after="180" w:before="360"/>
      </w:pPr>
      <w:r>
        <w:rPr>
          <w:rFonts w:ascii="Calibri" w:cs="Calibri" w:eastAsia="Calibri" w:hAnsi="Calibri"/>
          <w:b/>
          <w:bCs/>
          <w:color w:val="1F3864"/>
          <w:sz w:val="32"/>
          <w:szCs w:val="32"/>
        </w:rPr>
        <w:t xml:space="preserve">7. Rollback Drill Script</w:t>
      </w:r>
    </w:p>
    <w:p>
      <w:pPr>
        <w:spacing w:after="140" w:line="300"/>
        <w:jc w:val="both"/>
      </w:pPr>
      <w:r>
        <w:rPr>
          <w:rFonts w:ascii="Calibri" w:cs="Calibri" w:eastAsia="Calibri" w:hAnsi="Calibri"/>
          <w:color w:val="262626"/>
          <w:sz w:val="22"/>
          <w:szCs w:val="22"/>
        </w:rPr>
        <w:t xml:space="preserve">The rollback drill is executed in week 6 during a pre-announced low-traffic window. The purpose is to verify that the ATK service can be rolled back to a previous Helm revision and that the evidence ledger remains consistent across the rollback. A failed rollback drill is a hard stop for the pilot.</w:t>
      </w:r>
    </w:p>
    <w:p>
      <w:pPr>
        <w:pStyle w:val="Heading2"/>
        <w:spacing w:after="140" w:before="280"/>
      </w:pPr>
      <w:r>
        <w:rPr>
          <w:rFonts w:ascii="Calibri" w:cs="Calibri" w:eastAsia="Calibri" w:hAnsi="Calibri"/>
          <w:b/>
          <w:bCs/>
          <w:color w:val="2E75B6"/>
          <w:sz w:val="26"/>
          <w:szCs w:val="26"/>
        </w:rPr>
        <w:t xml:space="preserve">7.1. Pre-conditions</w:t>
      </w:r>
    </w:p>
    <w:p>
      <w:pPr>
        <w:pStyle w:val="ListParagraph"/>
        <w:numPr>
          <w:ilvl w:val="0"/>
          <w:numId w:val="1"/>
        </w:numPr>
        <w:spacing w:after="80"/>
      </w:pPr>
      <w:r>
        <w:rPr>
          <w:rFonts w:ascii="Calibri" w:cs="Calibri" w:eastAsia="Calibri" w:hAnsi="Calibri"/>
          <w:color w:val="262626"/>
          <w:sz w:val="22"/>
          <w:szCs w:val="22"/>
        </w:rPr>
        <w:t xml:space="preserve">At least two Helm revisions exist in the namespace. If the pilot has only had one install, a no-op upgrade is performed the day before the drill to create a second revision.</w:t>
      </w:r>
    </w:p>
    <w:p>
      <w:pPr>
        <w:pStyle w:val="ListParagraph"/>
        <w:numPr>
          <w:ilvl w:val="0"/>
          <w:numId w:val="1"/>
        </w:numPr>
        <w:spacing w:after="80"/>
      </w:pPr>
      <w:r>
        <w:rPr>
          <w:rFonts w:ascii="Calibri" w:cs="Calibri" w:eastAsia="Calibri" w:hAnsi="Calibri"/>
          <w:color w:val="262626"/>
          <w:sz w:val="22"/>
          <w:szCs w:val="22"/>
        </w:rPr>
        <w:t xml:space="preserve">Business stakeholder has acknowledged the drill window in writing.</w:t>
      </w:r>
    </w:p>
    <w:p>
      <w:pPr>
        <w:pStyle w:val="ListParagraph"/>
        <w:numPr>
          <w:ilvl w:val="0"/>
          <w:numId w:val="1"/>
        </w:numPr>
        <w:spacing w:after="80"/>
      </w:pPr>
      <w:r>
        <w:rPr>
          <w:rFonts w:ascii="Calibri" w:cs="Calibri" w:eastAsia="Calibri" w:hAnsi="Calibri"/>
          <w:color w:val="262626"/>
          <w:sz w:val="22"/>
          <w:szCs w:val="22"/>
        </w:rPr>
        <w:t xml:space="preserve">SRE is on-site or on-call with primary access to the cluster.</w:t>
      </w:r>
    </w:p>
    <w:p>
      <w:pPr>
        <w:pStyle w:val="ListParagraph"/>
        <w:numPr>
          <w:ilvl w:val="0"/>
          <w:numId w:val="1"/>
        </w:numPr>
        <w:spacing w:after="80"/>
      </w:pPr>
      <w:r>
        <w:rPr>
          <w:rFonts w:ascii="Calibri" w:cs="Calibri" w:eastAsia="Calibri" w:hAnsi="Calibri"/>
          <w:color w:val="262626"/>
          <w:sz w:val="22"/>
          <w:szCs w:val="22"/>
        </w:rPr>
        <w:t xml:space="preserve">Security Officer is available for the duration of the drill.</w:t>
      </w:r>
    </w:p>
    <w:p>
      <w:pPr>
        <w:pStyle w:val="ListParagraph"/>
        <w:numPr>
          <w:ilvl w:val="0"/>
          <w:numId w:val="1"/>
        </w:numPr>
        <w:spacing w:after="80"/>
      </w:pPr>
      <w:r>
        <w:rPr>
          <w:rFonts w:ascii="Calibri" w:cs="Calibri" w:eastAsia="Calibri" w:hAnsi="Calibri"/>
          <w:color w:val="262626"/>
          <w:sz w:val="22"/>
          <w:szCs w:val="22"/>
        </w:rPr>
        <w:t xml:space="preserve">A pre-drill snapshot of metrics M1 through M8 has been captured.</w:t>
      </w:r>
    </w:p>
    <w:p>
      <w:pPr>
        <w:pStyle w:val="Heading2"/>
        <w:spacing w:after="140" w:before="280"/>
      </w:pPr>
      <w:r>
        <w:rPr>
          <w:rFonts w:ascii="Calibri" w:cs="Calibri" w:eastAsia="Calibri" w:hAnsi="Calibri"/>
          <w:b/>
          <w:bCs/>
          <w:color w:val="2E75B6"/>
          <w:sz w:val="26"/>
          <w:szCs w:val="26"/>
        </w:rPr>
        <w:t xml:space="preserve">7.2. Execution steps</w:t>
      </w:r>
    </w:p>
    <w:p>
      <w:pPr>
        <w:pStyle w:val="ListParagraph"/>
        <w:numPr>
          <w:ilvl w:val="0"/>
          <w:numId w:val="2"/>
        </w:numPr>
        <w:spacing w:after="80"/>
      </w:pPr>
      <w:r>
        <w:rPr>
          <w:rFonts w:ascii="Calibri" w:cs="Calibri" w:eastAsia="Calibri" w:hAnsi="Calibri"/>
          <w:color w:val="262626"/>
          <w:sz w:val="22"/>
          <w:szCs w:val="22"/>
        </w:rPr>
        <w:t xml:space="preserve">T+0: Technical Lead announces drill start in the pilot incident channel. Timer begins.</w:t>
      </w:r>
    </w:p>
    <w:p>
      <w:pPr>
        <w:pStyle w:val="ListParagraph"/>
        <w:numPr>
          <w:ilvl w:val="0"/>
          <w:numId w:val="2"/>
        </w:numPr>
        <w:spacing w:after="80"/>
      </w:pPr>
      <w:r>
        <w:rPr>
          <w:rFonts w:ascii="Calibri" w:cs="Calibri" w:eastAsia="Calibri" w:hAnsi="Calibri"/>
          <w:color w:val="262626"/>
          <w:sz w:val="22"/>
          <w:szCs w:val="22"/>
        </w:rPr>
        <w:t xml:space="preserve">T+1 min: SRE captures kubectl describe and kubectl logs from the current Deployment for archival.</w:t>
      </w:r>
    </w:p>
    <w:p>
      <w:pPr>
        <w:pStyle w:val="ListParagraph"/>
        <w:numPr>
          <w:ilvl w:val="0"/>
          <w:numId w:val="2"/>
        </w:numPr>
        <w:spacing w:after="80"/>
      </w:pPr>
      <w:r>
        <w:rPr>
          <w:rFonts w:ascii="Calibri" w:cs="Calibri" w:eastAsia="Calibri" w:hAnsi="Calibri"/>
          <w:color w:val="262626"/>
          <w:sz w:val="22"/>
          <w:szCs w:val="22"/>
        </w:rPr>
        <w:t xml:space="preserve">T+2 min: SRE executes helm rollback arhiax-{pilot} 0 --wait --timeout 5m against the target namespace. The "0" argument rolls back to the immediately previous revision.</w:t>
      </w:r>
    </w:p>
    <w:p>
      <w:pPr>
        <w:pStyle w:val="ListParagraph"/>
        <w:numPr>
          <w:ilvl w:val="0"/>
          <w:numId w:val="2"/>
        </w:numPr>
        <w:spacing w:after="80"/>
      </w:pPr>
      <w:r>
        <w:rPr>
          <w:rFonts w:ascii="Calibri" w:cs="Calibri" w:eastAsia="Calibri" w:hAnsi="Calibri"/>
          <w:color w:val="262626"/>
          <w:sz w:val="22"/>
          <w:szCs w:val="22"/>
        </w:rPr>
        <w:t xml:space="preserve">T+2 to T+7 min: SRE observes the rollback. New pods start, readiness probes pass, old pods terminate. ATK service becomes available on the new revision.</w:t>
      </w:r>
    </w:p>
    <w:p>
      <w:pPr>
        <w:pStyle w:val="ListParagraph"/>
        <w:numPr>
          <w:ilvl w:val="0"/>
          <w:numId w:val="2"/>
        </w:numPr>
        <w:spacing w:after="80"/>
      </w:pPr>
      <w:r>
        <w:rPr>
          <w:rFonts w:ascii="Calibri" w:cs="Calibri" w:eastAsia="Calibri" w:hAnsi="Calibri"/>
          <w:color w:val="262626"/>
          <w:sz w:val="22"/>
          <w:szCs w:val="22"/>
        </w:rPr>
        <w:t xml:space="preserve">T+7 min: Technical Lead hits the /healthz endpoint and verifies HTTP 200. Hits /metrics and verifies that arhiax_atk_envelope_latency_seconds_count is incrementing.</w:t>
      </w:r>
    </w:p>
    <w:p>
      <w:pPr>
        <w:pStyle w:val="ListParagraph"/>
        <w:numPr>
          <w:ilvl w:val="0"/>
          <w:numId w:val="2"/>
        </w:numPr>
        <w:spacing w:after="80"/>
      </w:pPr>
      <w:r>
        <w:rPr>
          <w:rFonts w:ascii="Calibri" w:cs="Calibri" w:eastAsia="Calibri" w:hAnsi="Calibri"/>
          <w:color w:val="262626"/>
          <w:sz w:val="22"/>
          <w:szCs w:val="22"/>
        </w:rPr>
        <w:t xml:space="preserve">T+8 min: Technical Lead submits a happy-path envelope via the pilot client integration and verifies that the response is ALLOW and that an EGA entry is written within 5 seconds.</w:t>
      </w:r>
    </w:p>
    <w:p>
      <w:pPr>
        <w:pStyle w:val="ListParagraph"/>
        <w:numPr>
          <w:ilvl w:val="0"/>
          <w:numId w:val="2"/>
        </w:numPr>
        <w:spacing w:after="80"/>
      </w:pPr>
      <w:r>
        <w:rPr>
          <w:rFonts w:ascii="Calibri" w:cs="Calibri" w:eastAsia="Calibri" w:hAnsi="Calibri"/>
          <w:color w:val="262626"/>
          <w:sz w:val="22"/>
          <w:szCs w:val="22"/>
        </w:rPr>
        <w:t xml:space="preserve">T+10 min: Auditor verifies that the last envelope before the rollback and the first envelope after the rollback both have valid entries in EGA and that the chain of custody is continuous across the gap.</w:t>
      </w:r>
    </w:p>
    <w:p>
      <w:pPr>
        <w:pStyle w:val="ListParagraph"/>
        <w:numPr>
          <w:ilvl w:val="0"/>
          <w:numId w:val="2"/>
        </w:numPr>
        <w:spacing w:after="80"/>
      </w:pPr>
      <w:r>
        <w:rPr>
          <w:rFonts w:ascii="Calibri" w:cs="Calibri" w:eastAsia="Calibri" w:hAnsi="Calibri"/>
          <w:color w:val="262626"/>
          <w:sz w:val="22"/>
          <w:szCs w:val="22"/>
        </w:rPr>
        <w:t xml:space="preserve">T+15 min: Technical Lead executes helm rollback arhiax-{pilot} 0 --wait a second time to return to the original revision. Again verifies /healthz and one happy-path envelope.</w:t>
      </w:r>
    </w:p>
    <w:p>
      <w:pPr>
        <w:pStyle w:val="ListParagraph"/>
        <w:numPr>
          <w:ilvl w:val="0"/>
          <w:numId w:val="2"/>
        </w:numPr>
        <w:spacing w:after="80"/>
      </w:pPr>
      <w:r>
        <w:rPr>
          <w:rFonts w:ascii="Calibri" w:cs="Calibri" w:eastAsia="Calibri" w:hAnsi="Calibri"/>
          <w:color w:val="262626"/>
          <w:sz w:val="22"/>
          <w:szCs w:val="22"/>
        </w:rPr>
        <w:t xml:space="preserve">T+20 min: SRE captures post-drill metrics snapshot. Any metric that deviated more than 10% from pre-drill baseline is flagged for investigation.</w:t>
      </w:r>
    </w:p>
    <w:p>
      <w:pPr>
        <w:pStyle w:val="ListParagraph"/>
        <w:numPr>
          <w:ilvl w:val="0"/>
          <w:numId w:val="2"/>
        </w:numPr>
        <w:spacing w:after="80"/>
      </w:pPr>
      <w:r>
        <w:rPr>
          <w:rFonts w:ascii="Calibri" w:cs="Calibri" w:eastAsia="Calibri" w:hAnsi="Calibri"/>
          <w:color w:val="262626"/>
          <w:sz w:val="22"/>
          <w:szCs w:val="22"/>
        </w:rPr>
        <w:t xml:space="preserve">T+25 min: Technical Lead produces a drill report with the timeline, observations, and any anomalies. Report is filed in the evidence package.</w:t>
      </w:r>
    </w:p>
    <w:p>
      <w:pPr>
        <w:pStyle w:val="Heading2"/>
        <w:spacing w:after="140" w:before="280"/>
      </w:pPr>
      <w:r>
        <w:rPr>
          <w:rFonts w:ascii="Calibri" w:cs="Calibri" w:eastAsia="Calibri" w:hAnsi="Calibri"/>
          <w:b/>
          <w:bCs/>
          <w:color w:val="2E75B6"/>
          <w:sz w:val="26"/>
          <w:szCs w:val="26"/>
        </w:rPr>
        <w:t xml:space="preserve">7.3. Success criteria</w:t>
      </w:r>
    </w:p>
    <w:p>
      <w:pPr>
        <w:pStyle w:val="ListParagraph"/>
        <w:numPr>
          <w:ilvl w:val="0"/>
          <w:numId w:val="1"/>
        </w:numPr>
        <w:spacing w:after="80"/>
      </w:pPr>
      <w:r>
        <w:rPr>
          <w:rFonts w:ascii="Calibri" w:cs="Calibri" w:eastAsia="Calibri" w:hAnsi="Calibri"/>
          <w:color w:val="262626"/>
          <w:sz w:val="22"/>
          <w:szCs w:val="22"/>
        </w:rPr>
        <w:t xml:space="preserve">Rollback completes within 5 minutes of helm rollback execution.</w:t>
      </w:r>
    </w:p>
    <w:p>
      <w:pPr>
        <w:pStyle w:val="ListParagraph"/>
        <w:numPr>
          <w:ilvl w:val="0"/>
          <w:numId w:val="1"/>
        </w:numPr>
        <w:spacing w:after="80"/>
      </w:pPr>
      <w:r>
        <w:rPr>
          <w:rFonts w:ascii="Calibri" w:cs="Calibri" w:eastAsia="Calibri" w:hAnsi="Calibri"/>
          <w:color w:val="262626"/>
          <w:sz w:val="22"/>
          <w:szCs w:val="22"/>
        </w:rPr>
        <w:t xml:space="preserve">ATK service is available and serving envelopes within 10 minutes of drill start.</w:t>
      </w:r>
    </w:p>
    <w:p>
      <w:pPr>
        <w:pStyle w:val="ListParagraph"/>
        <w:numPr>
          <w:ilvl w:val="0"/>
          <w:numId w:val="1"/>
        </w:numPr>
        <w:spacing w:after="80"/>
      </w:pPr>
      <w:r>
        <w:rPr>
          <w:rFonts w:ascii="Calibri" w:cs="Calibri" w:eastAsia="Calibri" w:hAnsi="Calibri"/>
          <w:color w:val="262626"/>
          <w:sz w:val="22"/>
          <w:szCs w:val="22"/>
        </w:rPr>
        <w:t xml:space="preserve">Evidence ledger chain of custody is verified continuous across the rollback transition.</w:t>
      </w:r>
    </w:p>
    <w:p>
      <w:pPr>
        <w:pStyle w:val="ListParagraph"/>
        <w:numPr>
          <w:ilvl w:val="0"/>
          <w:numId w:val="1"/>
        </w:numPr>
        <w:spacing w:after="80"/>
      </w:pPr>
      <w:r>
        <w:rPr>
          <w:rFonts w:ascii="Calibri" w:cs="Calibri" w:eastAsia="Calibri" w:hAnsi="Calibri"/>
          <w:color w:val="262626"/>
          <w:sz w:val="22"/>
          <w:szCs w:val="22"/>
        </w:rPr>
        <w:t xml:space="preserve">No business-visible errors during the drill window.</w:t>
      </w:r>
    </w:p>
    <w:p>
      <w:pPr>
        <w:pStyle w:val="ListParagraph"/>
        <w:numPr>
          <w:ilvl w:val="0"/>
          <w:numId w:val="1"/>
        </w:numPr>
        <w:spacing w:after="80"/>
      </w:pPr>
      <w:r>
        <w:rPr>
          <w:rFonts w:ascii="Calibri" w:cs="Calibri" w:eastAsia="Calibri" w:hAnsi="Calibri"/>
          <w:color w:val="262626"/>
          <w:sz w:val="22"/>
          <w:szCs w:val="22"/>
        </w:rPr>
        <w:t xml:space="preserve">Return to original revision completes without manual intervention.</w:t>
      </w:r>
    </w:p>
    <w:p>
      <w:pPr>
        <w:pStyle w:val="Heading2"/>
        <w:spacing w:after="140" w:before="280"/>
      </w:pPr>
      <w:r>
        <w:rPr>
          <w:rFonts w:ascii="Calibri" w:cs="Calibri" w:eastAsia="Calibri" w:hAnsi="Calibri"/>
          <w:b/>
          <w:bCs/>
          <w:color w:val="2E75B6"/>
          <w:sz w:val="26"/>
          <w:szCs w:val="26"/>
        </w:rPr>
        <w:t xml:space="preserve">7.4. Failure handling</w:t>
      </w:r>
    </w:p>
    <w:p>
      <w:pPr>
        <w:spacing w:after="140" w:line="300"/>
        <w:jc w:val="both"/>
      </w:pPr>
      <w:r>
        <w:rPr>
          <w:rFonts w:ascii="Calibri" w:cs="Calibri" w:eastAsia="Calibri" w:hAnsi="Calibri"/>
          <w:color w:val="262626"/>
          <w:sz w:val="22"/>
          <w:szCs w:val="22"/>
        </w:rPr>
        <w:t xml:space="preserve">If any success criterion fails, the drill is recorded as FAILED and the Technical Lead initiates the incident response runbook for the affected bundle. A failed drill requires remediation and re-execution before the pilot can proceed to week 7. The pilot sponsor is notified within one hour of the failed drill.</w:t>
      </w:r>
    </w:p>
    <w:p>
      <w:r>
        <w:br w:type="page"/>
      </w:r>
    </w:p>
    <w:p>
      <w:pPr>
        <w:pStyle w:val="Heading1"/>
        <w:spacing w:after="180" w:before="360"/>
      </w:pPr>
      <w:r>
        <w:rPr>
          <w:rFonts w:ascii="Calibri" w:cs="Calibri" w:eastAsia="Calibri" w:hAnsi="Calibri"/>
          <w:b/>
          <w:bCs/>
          <w:color w:val="1F3864"/>
          <w:sz w:val="32"/>
          <w:szCs w:val="32"/>
        </w:rPr>
        <w:t xml:space="preserve">8. Go/No-Go Scorecard</w:t>
      </w:r>
    </w:p>
    <w:p>
      <w:pPr>
        <w:spacing w:after="140" w:line="300"/>
        <w:jc w:val="both"/>
      </w:pPr>
      <w:r>
        <w:rPr>
          <w:rFonts w:ascii="Calibri" w:cs="Calibri" w:eastAsia="Calibri" w:hAnsi="Calibri"/>
          <w:color w:val="262626"/>
          <w:sz w:val="22"/>
          <w:szCs w:val="22"/>
        </w:rPr>
        <w:t xml:space="preserve">The scorecard aggregates evidence from the pilot into a single weighted score on a scale of 0 to 100. The threshold for a GO decision is 85. Scores between 70 and 84 result in a conditional GO with documented remediation dates. Scores below 70 are a NO-GO that requires re-pilot before any scale-up conversation.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Category</w:t>
            </w:r>
          </w:p>
        </w:tc>
        <w:tc>
          <w:tcPr>
            <w:tcW w:type="dxa" w:w="12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Weight</w:t>
            </w:r>
          </w:p>
        </w:tc>
        <w:tc>
          <w:tcPr>
            <w:tcW w:type="dxa" w:w="50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Criterion</w:t>
            </w:r>
          </w:p>
        </w:tc>
        <w:tc>
          <w:tcPr>
            <w:tcW w:type="dxa" w:w="8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Max</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Control coverage</w:t>
            </w:r>
          </w:p>
        </w:tc>
        <w:tc>
          <w:tcPr>
            <w:tcW w:type="dxa" w:w="2000"/>
            <w:tcMar>
              <w:top w:type="dxa" w:w="100"/>
              <w:left w:type="dxa" w:w="120"/>
              <w:bottom w:type="dxa" w:w="100"/>
              <w:right w:type="dxa" w:w="120"/>
            </w:tcMar>
          </w:tcPr>
          <w:p>
            <w:pPr>
              <w:spacing w:after="40"/>
              <w:jc w:val="center"/>
            </w:pPr>
            <w:r>
              <w:rPr>
                <w:rFonts w:ascii="Calibri" w:cs="Calibri" w:eastAsia="Calibri" w:hAnsi="Calibri"/>
                <w:b w:val="false"/>
                <w:bCs w:val="false"/>
                <w:color w:val="262626"/>
                <w:sz w:val="20"/>
                <w:szCs w:val="20"/>
              </w:rPr>
              <w:t xml:space="preserve">30%</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36 controls exercised during pilot window: 30 points. 30–35 controls: 20 points. Fewer than 30: 0 points (auto-fail).</w:t>
            </w:r>
          </w:p>
        </w:tc>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30</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Metric performance</w:t>
            </w:r>
          </w:p>
        </w:tc>
        <w:tc>
          <w:tcPr>
            <w:tcW w:type="dxa" w:w="2000"/>
            <w:tcMar>
              <w:top w:type="dxa" w:w="100"/>
              <w:left w:type="dxa" w:w="120"/>
              <w:bottom w:type="dxa" w:w="100"/>
              <w:right w:type="dxa" w:w="120"/>
            </w:tcMar>
          </w:tcPr>
          <w:p>
            <w:pPr>
              <w:spacing w:after="40"/>
              <w:jc w:val="center"/>
            </w:pPr>
            <w:r>
              <w:rPr>
                <w:rFonts w:ascii="Calibri" w:cs="Calibri" w:eastAsia="Calibri" w:hAnsi="Calibri"/>
                <w:b w:val="false"/>
                <w:bCs w:val="false"/>
                <w:color w:val="262626"/>
                <w:sz w:val="20"/>
                <w:szCs w:val="20"/>
              </w:rPr>
              <w:t xml:space="preserve">25%</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eight metrics meet target for 80% of pilot window: 25 points. Two-metric breach within 10% of target: 15 points. Any metric sustained breach &gt; 20%: 0 points for that metric, capped at 10 total.</w:t>
            </w:r>
          </w:p>
        </w:tc>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25</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Business KPI stability</w:t>
            </w:r>
          </w:p>
        </w:tc>
        <w:tc>
          <w:tcPr>
            <w:tcW w:type="dxa" w:w="2000"/>
            <w:tcMar>
              <w:top w:type="dxa" w:w="100"/>
              <w:left w:type="dxa" w:w="120"/>
              <w:bottom w:type="dxa" w:w="100"/>
              <w:right w:type="dxa" w:w="120"/>
            </w:tcMar>
          </w:tcPr>
          <w:p>
            <w:pPr>
              <w:spacing w:after="40"/>
              <w:jc w:val="center"/>
            </w:pPr>
            <w:r>
              <w:rPr>
                <w:rFonts w:ascii="Calibri" w:cs="Calibri" w:eastAsia="Calibri" w:hAnsi="Calibri"/>
                <w:b w:val="false"/>
                <w:bCs w:val="false"/>
                <w:color w:val="262626"/>
                <w:sz w:val="20"/>
                <w:szCs w:val="20"/>
              </w:rPr>
              <w:t xml:space="preserve">20%</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Primary business KPI degradation less than 2%: 20 points. Between 2% and 5%: 10 points. More than 5%: 0 points (auto-fail regardless of other categories).</w:t>
            </w:r>
          </w:p>
        </w:tc>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20</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Rollback drill</w:t>
            </w:r>
          </w:p>
        </w:tc>
        <w:tc>
          <w:tcPr>
            <w:tcW w:type="dxa" w:w="2000"/>
            <w:tcMar>
              <w:top w:type="dxa" w:w="100"/>
              <w:left w:type="dxa" w:w="120"/>
              <w:bottom w:type="dxa" w:w="100"/>
              <w:right w:type="dxa" w:w="120"/>
            </w:tcMar>
          </w:tcPr>
          <w:p>
            <w:pPr>
              <w:spacing w:after="40"/>
              <w:jc w:val="center"/>
            </w:pPr>
            <w:r>
              <w:rPr>
                <w:rFonts w:ascii="Calibri" w:cs="Calibri" w:eastAsia="Calibri" w:hAnsi="Calibri"/>
                <w:b w:val="false"/>
                <w:bCs w:val="false"/>
                <w:color w:val="262626"/>
                <w:sz w:val="20"/>
                <w:szCs w:val="20"/>
              </w:rPr>
              <w:t xml:space="preserve">10%</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Drill passed on first attempt: 10 points. Passed on second attempt: 5 points. Failed on both attempts: 0 points (auto-fail).</w:t>
            </w:r>
          </w:p>
        </w:tc>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10</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Evidence package completeness</w:t>
            </w:r>
          </w:p>
        </w:tc>
        <w:tc>
          <w:tcPr>
            <w:tcW w:type="dxa" w:w="2000"/>
            <w:tcMar>
              <w:top w:type="dxa" w:w="100"/>
              <w:left w:type="dxa" w:w="120"/>
              <w:bottom w:type="dxa" w:w="100"/>
              <w:right w:type="dxa" w:w="120"/>
            </w:tcMar>
          </w:tcPr>
          <w:p>
            <w:pPr>
              <w:spacing w:after="40"/>
              <w:jc w:val="center"/>
            </w:pPr>
            <w:r>
              <w:rPr>
                <w:rFonts w:ascii="Calibri" w:cs="Calibri" w:eastAsia="Calibri" w:hAnsi="Calibri"/>
                <w:b w:val="false"/>
                <w:bCs w:val="false"/>
                <w:color w:val="262626"/>
                <w:sz w:val="20"/>
                <w:szCs w:val="20"/>
              </w:rPr>
              <w:t xml:space="preserve">10%</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nine evidence package items present and auditor-verified: 10 points. Missing or incomplete items lose 2 points each.</w:t>
            </w:r>
          </w:p>
        </w:tc>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10</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Incident response</w:t>
            </w:r>
          </w:p>
        </w:tc>
        <w:tc>
          <w:tcPr>
            <w:tcW w:type="dxa" w:w="2000"/>
            <w:tcMar>
              <w:top w:type="dxa" w:w="100"/>
              <w:left w:type="dxa" w:w="120"/>
              <w:bottom w:type="dxa" w:w="100"/>
              <w:right w:type="dxa" w:w="120"/>
            </w:tcMar>
          </w:tcPr>
          <w:p>
            <w:pPr>
              <w:spacing w:after="40"/>
              <w:jc w:val="center"/>
            </w:pPr>
            <w:r>
              <w:rPr>
                <w:rFonts w:ascii="Calibri" w:cs="Calibri" w:eastAsia="Calibri" w:hAnsi="Calibri"/>
                <w:b w:val="false"/>
                <w:bCs w:val="false"/>
                <w:color w:val="262626"/>
                <w:sz w:val="20"/>
                <w:szCs w:val="20"/>
              </w:rPr>
              <w:t xml:space="preserve">5%</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 unresolved incidents at W10: 5 points. Open incidents with documented remediation: 3 points. Unresolved incidents with no plan: 0 points.</w:t>
            </w:r>
          </w:p>
        </w:tc>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5</w:t>
            </w:r>
          </w:p>
        </w:tc>
      </w:tr>
      <w:tr>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TOTAL</w:t>
            </w:r>
          </w:p>
        </w:tc>
        <w:tc>
          <w:tcPr>
            <w:tcW w:type="dxa" w:w="2000"/>
            <w:shd w:fill="F2F2F2"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100%</w:t>
            </w:r>
          </w:p>
        </w:tc>
        <w:tc>
          <w:tcPr>
            <w:tcW w:type="dxa" w:w="2000"/>
            <w:shd w:fill="F2F2F2" w:val="clear"/>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Threshold for GO: 85 / 100</w:t>
            </w:r>
          </w:p>
        </w:tc>
        <w:tc>
          <w:tcPr>
            <w:tcW w:type="dxa" w:w="20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100</w:t>
            </w:r>
          </w:p>
        </w:tc>
      </w:tr>
    </w:tbl>
    <w:p>
      <w:pPr>
        <w:spacing w:after="120"/>
      </w:pPr>
      <w:r>
        <w:rPr>
          <w:rFonts w:ascii="Calibri" w:cs="Calibri" w:eastAsia="Calibri" w:hAnsi="Calibri"/>
        </w:rPr>
        <w:t xml:space="preserve"> </w:t>
      </w:r>
    </w:p>
    <w:tbl>
      <w:tblPr>
        <w:tblW w:type="pct" w:w="100%"/>
        <w:tblBorders>
          <w:top w:val="single" w:color="C55A11" w:sz="12"/>
          <w:left w:val="single" w:color="C55A11" w:sz="12"/>
          <w:bottom w:val="single" w:color="C55A11" w:sz="12"/>
          <w:right w:val="single" w:color="C55A11" w:sz="12"/>
          <w:insideH w:val="none"/>
          <w:insideV w:val="none"/>
        </w:tblBorders>
      </w:tblPr>
      <w:tblGrid>
        <w:gridCol w:w="100"/>
      </w:tblGrid>
      <w:tr>
        <w:tc>
          <w:tcPr>
            <w:shd w:fill="FCE4D6" w:val="clear"/>
            <w:tcMar>
              <w:top w:type="dxa" w:w="160"/>
              <w:left w:type="dxa" w:w="200"/>
              <w:bottom w:type="dxa" w:w="160"/>
              <w:right w:type="dxa" w:w="200"/>
            </w:tcMar>
          </w:tcPr>
          <w:p>
            <w:pPr>
              <w:spacing w:after="80"/>
            </w:pPr>
            <w:r>
              <w:rPr>
                <w:rFonts w:ascii="Calibri" w:cs="Calibri" w:eastAsia="Calibri" w:hAnsi="Calibri"/>
                <w:b/>
                <w:bCs/>
                <w:color w:val="C55A11"/>
                <w:sz w:val="22"/>
                <w:szCs w:val="22"/>
              </w:rPr>
              <w:t xml:space="preserve">Auto-fail conditions</w:t>
            </w:r>
          </w:p>
          <w:p>
            <w:r>
              <w:rPr>
                <w:rFonts w:ascii="Calibri" w:cs="Calibri" w:eastAsia="Calibri" w:hAnsi="Calibri"/>
                <w:color w:val="262626"/>
                <w:sz w:val="20"/>
                <w:szCs w:val="20"/>
              </w:rPr>
              <w:t xml:space="preserve">Any of the following conditions triggers an automatic NO-GO regardless of total score: (i) fewer than 30 controls exercised, (ii) business KPI degradation exceeds 5%, (iii) rollback drill failed twice, (iv) any unresolved critical incident at W10, (v) evidence ledger integrity breach discovered during auditor review.</w:t>
            </w:r>
          </w:p>
        </w:tc>
      </w:tr>
    </w:tbl>
    <w:p>
      <w:r>
        <w:br w:type="page"/>
      </w:r>
    </w:p>
    <w:p>
      <w:pPr>
        <w:pStyle w:val="Heading1"/>
        <w:spacing w:after="180" w:before="360"/>
      </w:pPr>
      <w:r>
        <w:rPr>
          <w:rFonts w:ascii="Calibri" w:cs="Calibri" w:eastAsia="Calibri" w:hAnsi="Calibri"/>
          <w:b/>
          <w:bCs/>
          <w:color w:val="1F3864"/>
          <w:sz w:val="32"/>
          <w:szCs w:val="32"/>
        </w:rPr>
        <w:t xml:space="preserve">9. Evidence Package Template</w:t>
      </w:r>
    </w:p>
    <w:p>
      <w:pPr>
        <w:spacing w:after="140" w:line="300"/>
        <w:jc w:val="both"/>
      </w:pPr>
      <w:r>
        <w:rPr>
          <w:rFonts w:ascii="Calibri" w:cs="Calibri" w:eastAsia="Calibri" w:hAnsi="Calibri"/>
          <w:color w:val="262626"/>
          <w:sz w:val="22"/>
          <w:szCs w:val="22"/>
        </w:rPr>
        <w:t xml:space="preserve">The evidence package is the canonical deliverable of the pilot. It is assembled in week 9 and presented at the go/no-go meeting in week 10. After the decision, it is archived in the Sinergia document management system under the pilot ID and retained for at least seven years per BCB Resolution 4,658 (Brasil pilot) or equivalent local regulation.</w:t>
      </w:r>
    </w:p>
    <w:p>
      <w:pPr>
        <w:pStyle w:val="Heading2"/>
        <w:spacing w:after="140" w:before="280"/>
      </w:pPr>
      <w:r>
        <w:rPr>
          <w:rFonts w:ascii="Calibri" w:cs="Calibri" w:eastAsia="Calibri" w:hAnsi="Calibri"/>
          <w:b/>
          <w:bCs/>
          <w:color w:val="2E75B6"/>
          <w:sz w:val="26"/>
          <w:szCs w:val="26"/>
        </w:rPr>
        <w:t xml:space="preserve">9.1. Required contents</w:t>
      </w:r>
    </w:p>
    <w:p>
      <w:pPr>
        <w:spacing w:after="100"/>
        <w:ind w:left="360"/>
      </w:pPr>
      <w:r>
        <w:rPr>
          <w:rFonts w:ascii="Calibri" w:cs="Calibri" w:eastAsia="Calibri" w:hAnsi="Calibri"/>
          <w:b/>
          <w:bCs/>
          <w:color w:val="1F3864"/>
          <w:sz w:val="20"/>
          <w:szCs w:val="20"/>
        </w:rPr>
        <w:t xml:space="preserve">•  EP-01  —  </w:t>
      </w:r>
      <w:r>
        <w:rPr>
          <w:rFonts w:ascii="Calibri" w:cs="Calibri" w:eastAsia="Calibri" w:hAnsi="Calibri"/>
          <w:color w:val="262626"/>
          <w:sz w:val="20"/>
          <w:szCs w:val="20"/>
        </w:rPr>
        <w:t xml:space="preserve">Signed scope freeze document from W0 including sponsor signature and RACI matrix.</w:t>
      </w:r>
    </w:p>
    <w:p>
      <w:pPr>
        <w:spacing w:after="100"/>
        <w:ind w:left="360"/>
      </w:pPr>
      <w:r>
        <w:rPr>
          <w:rFonts w:ascii="Calibri" w:cs="Calibri" w:eastAsia="Calibri" w:hAnsi="Calibri"/>
          <w:b/>
          <w:bCs/>
          <w:color w:val="1F3864"/>
          <w:sz w:val="20"/>
          <w:szCs w:val="20"/>
        </w:rPr>
        <w:t xml:space="preserve">•  EP-02  —  </w:t>
      </w:r>
      <w:r>
        <w:rPr>
          <w:rFonts w:ascii="Calibri" w:cs="Calibri" w:eastAsia="Calibri" w:hAnsi="Calibri"/>
          <w:color w:val="262626"/>
          <w:sz w:val="20"/>
          <w:szCs w:val="20"/>
        </w:rPr>
        <w:t xml:space="preserve">Helm install history (helm history output) with all revisions during the pilot window.</w:t>
      </w:r>
    </w:p>
    <w:p>
      <w:pPr>
        <w:spacing w:after="100"/>
        <w:ind w:left="360"/>
      </w:pPr>
      <w:r>
        <w:rPr>
          <w:rFonts w:ascii="Calibri" w:cs="Calibri" w:eastAsia="Calibri" w:hAnsi="Calibri"/>
          <w:b/>
          <w:bCs/>
          <w:color w:val="1F3864"/>
          <w:sz w:val="20"/>
          <w:szCs w:val="20"/>
        </w:rPr>
        <w:t xml:space="preserve">•  EP-03  —  </w:t>
      </w:r>
      <w:r>
        <w:rPr>
          <w:rFonts w:ascii="Calibri" w:cs="Calibri" w:eastAsia="Calibri" w:hAnsi="Calibri"/>
          <w:color w:val="262626"/>
          <w:sz w:val="20"/>
          <w:szCs w:val="20"/>
        </w:rPr>
        <w:t xml:space="preserve">ATK-C07 startup attestation records for every pod restart during the pilot, exported from EGA.</w:t>
      </w:r>
    </w:p>
    <w:p>
      <w:pPr>
        <w:spacing w:after="100"/>
        <w:ind w:left="360"/>
      </w:pPr>
      <w:r>
        <w:rPr>
          <w:rFonts w:ascii="Calibri" w:cs="Calibri" w:eastAsia="Calibri" w:hAnsi="Calibri"/>
          <w:b/>
          <w:bCs/>
          <w:color w:val="1F3864"/>
          <w:sz w:val="20"/>
          <w:szCs w:val="20"/>
        </w:rPr>
        <w:t xml:space="preserve">•  EP-04  —  </w:t>
      </w:r>
      <w:r>
        <w:rPr>
          <w:rFonts w:ascii="Calibri" w:cs="Calibri" w:eastAsia="Calibri" w:hAnsi="Calibri"/>
          <w:color w:val="262626"/>
          <w:sz w:val="20"/>
          <w:szCs w:val="20"/>
        </w:rPr>
        <w:t xml:space="preserve">Weekly metric reports for M1–M8 including targets, actuals, and deviation analysis.</w:t>
      </w:r>
    </w:p>
    <w:p>
      <w:pPr>
        <w:spacing w:after="100"/>
        <w:ind w:left="360"/>
      </w:pPr>
      <w:r>
        <w:rPr>
          <w:rFonts w:ascii="Calibri" w:cs="Calibri" w:eastAsia="Calibri" w:hAnsi="Calibri"/>
          <w:b/>
          <w:bCs/>
          <w:color w:val="1F3864"/>
          <w:sz w:val="20"/>
          <w:szCs w:val="20"/>
        </w:rPr>
        <w:t xml:space="preserve">•  EP-05  —  </w:t>
      </w:r>
      <w:r>
        <w:rPr>
          <w:rFonts w:ascii="Calibri" w:cs="Calibri" w:eastAsia="Calibri" w:hAnsi="Calibri"/>
          <w:color w:val="262626"/>
          <w:sz w:val="20"/>
          <w:szCs w:val="20"/>
        </w:rPr>
        <w:t xml:space="preserve">EGA ledger export with sampled entries and verified chain of custody (auditor signature required).</w:t>
      </w:r>
    </w:p>
    <w:p>
      <w:pPr>
        <w:spacing w:after="100"/>
        <w:ind w:left="360"/>
      </w:pPr>
      <w:r>
        <w:rPr>
          <w:rFonts w:ascii="Calibri" w:cs="Calibri" w:eastAsia="Calibri" w:hAnsi="Calibri"/>
          <w:b/>
          <w:bCs/>
          <w:color w:val="1F3864"/>
          <w:sz w:val="20"/>
          <w:szCs w:val="20"/>
        </w:rPr>
        <w:t xml:space="preserve">•  EP-06  —  </w:t>
      </w:r>
      <w:r>
        <w:rPr>
          <w:rFonts w:ascii="Calibri" w:cs="Calibri" w:eastAsia="Calibri" w:hAnsi="Calibri"/>
          <w:color w:val="262626"/>
          <w:sz w:val="20"/>
          <w:szCs w:val="20"/>
        </w:rPr>
        <w:t xml:space="preserve">Rollback drill report including timeline, observations, pre/post metrics, and success criteria verification.</w:t>
      </w:r>
    </w:p>
    <w:p>
      <w:pPr>
        <w:spacing w:after="100"/>
        <w:ind w:left="360"/>
      </w:pPr>
      <w:r>
        <w:rPr>
          <w:rFonts w:ascii="Calibri" w:cs="Calibri" w:eastAsia="Calibri" w:hAnsi="Calibri"/>
          <w:b/>
          <w:bCs/>
          <w:color w:val="1F3864"/>
          <w:sz w:val="20"/>
          <w:szCs w:val="20"/>
        </w:rPr>
        <w:t xml:space="preserve">•  EP-07  —  </w:t>
      </w:r>
      <w:r>
        <w:rPr>
          <w:rFonts w:ascii="Calibri" w:cs="Calibri" w:eastAsia="Calibri" w:hAnsi="Calibri"/>
          <w:color w:val="262626"/>
          <w:sz w:val="20"/>
          <w:szCs w:val="20"/>
        </w:rPr>
        <w:t xml:space="preserve">Incident log with every incident opened during the pilot, the runbook applied, the resolution, and the post-mortem.</w:t>
      </w:r>
    </w:p>
    <w:p>
      <w:pPr>
        <w:spacing w:after="100"/>
        <w:ind w:left="360"/>
      </w:pPr>
      <w:r>
        <w:rPr>
          <w:rFonts w:ascii="Calibri" w:cs="Calibri" w:eastAsia="Calibri" w:hAnsi="Calibri"/>
          <w:b/>
          <w:bCs/>
          <w:color w:val="1F3864"/>
          <w:sz w:val="20"/>
          <w:szCs w:val="20"/>
        </w:rPr>
        <w:t xml:space="preserve">•  EP-08  —  </w:t>
      </w:r>
      <w:r>
        <w:rPr>
          <w:rFonts w:ascii="Calibri" w:cs="Calibri" w:eastAsia="Calibri" w:hAnsi="Calibri"/>
          <w:color w:val="262626"/>
          <w:sz w:val="20"/>
          <w:szCs w:val="20"/>
        </w:rPr>
        <w:t xml:space="preserve">Control coverage verification report listing all 36 controls with exercise evidence.</w:t>
      </w:r>
    </w:p>
    <w:p>
      <w:pPr>
        <w:spacing w:after="100"/>
        <w:ind w:left="360"/>
      </w:pPr>
      <w:r>
        <w:rPr>
          <w:rFonts w:ascii="Calibri" w:cs="Calibri" w:eastAsia="Calibri" w:hAnsi="Calibri"/>
          <w:b/>
          <w:bCs/>
          <w:color w:val="1F3864"/>
          <w:sz w:val="20"/>
          <w:szCs w:val="20"/>
        </w:rPr>
        <w:t xml:space="preserve">•  EP-09  —  </w:t>
      </w:r>
      <w:r>
        <w:rPr>
          <w:rFonts w:ascii="Calibri" w:cs="Calibri" w:eastAsia="Calibri" w:hAnsi="Calibri"/>
          <w:color w:val="262626"/>
          <w:sz w:val="20"/>
          <w:szCs w:val="20"/>
        </w:rPr>
        <w:t xml:space="preserve">Go/no-go scorecard with line-item scoring, total, and signed decision.</w:t>
      </w:r>
    </w:p>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6"/>
          <w:szCs w:val="26"/>
        </w:rPr>
        <w:t xml:space="preserve">9.2. Format standards</w:t>
      </w:r>
    </w:p>
    <w:p>
      <w:pPr>
        <w:pStyle w:val="ListParagraph"/>
        <w:numPr>
          <w:ilvl w:val="0"/>
          <w:numId w:val="1"/>
        </w:numPr>
        <w:spacing w:after="80"/>
      </w:pPr>
      <w:r>
        <w:rPr>
          <w:rFonts w:ascii="Calibri" w:cs="Calibri" w:eastAsia="Calibri" w:hAnsi="Calibri"/>
          <w:color w:val="262626"/>
          <w:sz w:val="22"/>
          <w:szCs w:val="22"/>
        </w:rPr>
        <w:t xml:space="preserve">All documents in PDF/A-2 for long-term archival.</w:t>
      </w:r>
    </w:p>
    <w:p>
      <w:pPr>
        <w:pStyle w:val="ListParagraph"/>
        <w:numPr>
          <w:ilvl w:val="0"/>
          <w:numId w:val="1"/>
        </w:numPr>
        <w:spacing w:after="80"/>
      </w:pPr>
      <w:r>
        <w:rPr>
          <w:rFonts w:ascii="Calibri" w:cs="Calibri" w:eastAsia="Calibri" w:hAnsi="Calibri"/>
          <w:color w:val="262626"/>
          <w:sz w:val="22"/>
          <w:szCs w:val="22"/>
        </w:rPr>
        <w:t xml:space="preserve">All metric exports in CSV with accompanying schema description.</w:t>
      </w:r>
    </w:p>
    <w:p>
      <w:pPr>
        <w:pStyle w:val="ListParagraph"/>
        <w:numPr>
          <w:ilvl w:val="0"/>
          <w:numId w:val="1"/>
        </w:numPr>
        <w:spacing w:after="80"/>
      </w:pPr>
      <w:r>
        <w:rPr>
          <w:rFonts w:ascii="Calibri" w:cs="Calibri" w:eastAsia="Calibri" w:hAnsi="Calibri"/>
          <w:color w:val="262626"/>
          <w:sz w:val="22"/>
          <w:szCs w:val="22"/>
        </w:rPr>
        <w:t xml:space="preserve">All EGA exports in JSONL with the ARHIAX v11.4 schema reference.</w:t>
      </w:r>
    </w:p>
    <w:p>
      <w:pPr>
        <w:pStyle w:val="ListParagraph"/>
        <w:numPr>
          <w:ilvl w:val="0"/>
          <w:numId w:val="1"/>
        </w:numPr>
        <w:spacing w:after="80"/>
      </w:pPr>
      <w:r>
        <w:rPr>
          <w:rFonts w:ascii="Calibri" w:cs="Calibri" w:eastAsia="Calibri" w:hAnsi="Calibri"/>
          <w:color w:val="262626"/>
          <w:sz w:val="22"/>
          <w:szCs w:val="22"/>
        </w:rPr>
        <w:t xml:space="preserve">All signatures in the document management system with hash verification.</w:t>
      </w:r>
    </w:p>
    <w:p>
      <w:pPr>
        <w:pStyle w:val="ListParagraph"/>
        <w:numPr>
          <w:ilvl w:val="0"/>
          <w:numId w:val="1"/>
        </w:numPr>
        <w:spacing w:after="80"/>
      </w:pPr>
      <w:r>
        <w:rPr>
          <w:rFonts w:ascii="Calibri" w:cs="Calibri" w:eastAsia="Calibri" w:hAnsi="Calibri"/>
          <w:color w:val="262626"/>
          <w:sz w:val="22"/>
          <w:szCs w:val="22"/>
        </w:rPr>
        <w:t xml:space="preserve">A master index (EP-00) listing all items with file hashes for integrity verification.</w:t>
      </w:r>
    </w:p>
    <w:p>
      <w:r>
        <w:br w:type="page"/>
      </w:r>
    </w:p>
    <w:p>
      <w:pPr>
        <w:pStyle w:val="Heading1"/>
        <w:spacing w:after="180" w:before="360"/>
      </w:pPr>
      <w:r>
        <w:rPr>
          <w:rFonts w:ascii="Calibri" w:cs="Calibri" w:eastAsia="Calibri" w:hAnsi="Calibri"/>
          <w:b/>
          <w:bCs/>
          <w:color w:val="1F3864"/>
          <w:sz w:val="32"/>
          <w:szCs w:val="32"/>
        </w:rPr>
        <w:t xml:space="preserve">10. Lessons Learned and Scale-Up Path</w:t>
      </w:r>
    </w:p>
    <w:p>
      <w:pPr>
        <w:spacing w:after="140" w:line="300"/>
        <w:jc w:val="both"/>
      </w:pPr>
      <w:r>
        <w:rPr>
          <w:rFonts w:ascii="Calibri" w:cs="Calibri" w:eastAsia="Calibri" w:hAnsi="Calibri"/>
          <w:color w:val="262626"/>
          <w:sz w:val="22"/>
          <w:szCs w:val="22"/>
        </w:rPr>
        <w:t xml:space="preserve">The pilot concludes with a post-pilot retrospective in the week following the go/no-go meeting. The retrospective captures what worked, what did not, and what would be done differently in the next pilot or scale-up. Lessons feed into the ARHIAX v11.5 roadmap and the next pilot cycle.</w:t>
      </w:r>
    </w:p>
    <w:p>
      <w:pPr>
        <w:pStyle w:val="Heading2"/>
        <w:spacing w:after="140" w:before="280"/>
      </w:pPr>
      <w:r>
        <w:rPr>
          <w:rFonts w:ascii="Calibri" w:cs="Calibri" w:eastAsia="Calibri" w:hAnsi="Calibri"/>
          <w:b/>
          <w:bCs/>
          <w:color w:val="2E75B6"/>
          <w:sz w:val="26"/>
          <w:szCs w:val="26"/>
        </w:rPr>
        <w:t xml:space="preserve">10.1. Post-pilot retrospective agenda</w:t>
      </w:r>
    </w:p>
    <w:p>
      <w:pPr>
        <w:pStyle w:val="ListParagraph"/>
        <w:numPr>
          <w:ilvl w:val="0"/>
          <w:numId w:val="2"/>
        </w:numPr>
        <w:spacing w:after="80"/>
      </w:pPr>
      <w:r>
        <w:rPr>
          <w:rFonts w:ascii="Calibri" w:cs="Calibri" w:eastAsia="Calibri" w:hAnsi="Calibri"/>
          <w:color w:val="262626"/>
          <w:sz w:val="22"/>
          <w:szCs w:val="22"/>
        </w:rPr>
        <w:t xml:space="preserve">What outcomes exceeded expectations, and why.</w:t>
      </w:r>
    </w:p>
    <w:p>
      <w:pPr>
        <w:pStyle w:val="ListParagraph"/>
        <w:numPr>
          <w:ilvl w:val="0"/>
          <w:numId w:val="2"/>
        </w:numPr>
        <w:spacing w:after="80"/>
      </w:pPr>
      <w:r>
        <w:rPr>
          <w:rFonts w:ascii="Calibri" w:cs="Calibri" w:eastAsia="Calibri" w:hAnsi="Calibri"/>
          <w:color w:val="262626"/>
          <w:sz w:val="22"/>
          <w:szCs w:val="22"/>
        </w:rPr>
        <w:t xml:space="preserve">What outcomes fell short, and the root cause for each.</w:t>
      </w:r>
    </w:p>
    <w:p>
      <w:pPr>
        <w:pStyle w:val="ListParagraph"/>
        <w:numPr>
          <w:ilvl w:val="0"/>
          <w:numId w:val="2"/>
        </w:numPr>
        <w:spacing w:after="80"/>
      </w:pPr>
      <w:r>
        <w:rPr>
          <w:rFonts w:ascii="Calibri" w:cs="Calibri" w:eastAsia="Calibri" w:hAnsi="Calibri"/>
          <w:color w:val="262626"/>
          <w:sz w:val="22"/>
          <w:szCs w:val="22"/>
        </w:rPr>
        <w:t xml:space="preserve">Which of the 19 bundles proved most valuable, and which had the highest false positive rate.</w:t>
      </w:r>
    </w:p>
    <w:p>
      <w:pPr>
        <w:pStyle w:val="ListParagraph"/>
        <w:numPr>
          <w:ilvl w:val="0"/>
          <w:numId w:val="2"/>
        </w:numPr>
        <w:spacing w:after="80"/>
      </w:pPr>
      <w:r>
        <w:rPr>
          <w:rFonts w:ascii="Calibri" w:cs="Calibri" w:eastAsia="Calibri" w:hAnsi="Calibri"/>
          <w:color w:val="262626"/>
          <w:sz w:val="22"/>
          <w:szCs w:val="22"/>
        </w:rPr>
        <w:t xml:space="preserve">Which of the 36 controls were most straightforward to exercise, and which required workarounds.</w:t>
      </w:r>
    </w:p>
    <w:p>
      <w:pPr>
        <w:pStyle w:val="ListParagraph"/>
        <w:numPr>
          <w:ilvl w:val="0"/>
          <w:numId w:val="2"/>
        </w:numPr>
        <w:spacing w:after="80"/>
      </w:pPr>
      <w:r>
        <w:rPr>
          <w:rFonts w:ascii="Calibri" w:cs="Calibri" w:eastAsia="Calibri" w:hAnsi="Calibri"/>
          <w:color w:val="262626"/>
          <w:sz w:val="22"/>
          <w:szCs w:val="22"/>
        </w:rPr>
        <w:t xml:space="preserve">What Helm values were changed during the pilot window, and whether they should be rolled into the default values file for that pilot type.</w:t>
      </w:r>
    </w:p>
    <w:p>
      <w:pPr>
        <w:pStyle w:val="ListParagraph"/>
        <w:numPr>
          <w:ilvl w:val="0"/>
          <w:numId w:val="2"/>
        </w:numPr>
        <w:spacing w:after="80"/>
      </w:pPr>
      <w:r>
        <w:rPr>
          <w:rFonts w:ascii="Calibri" w:cs="Calibri" w:eastAsia="Calibri" w:hAnsi="Calibri"/>
          <w:color w:val="262626"/>
          <w:sz w:val="22"/>
          <w:szCs w:val="22"/>
        </w:rPr>
        <w:t xml:space="preserve">What incident response runbooks were invoked, and whether they were adequate.</w:t>
      </w:r>
    </w:p>
    <w:p>
      <w:pPr>
        <w:pStyle w:val="ListParagraph"/>
        <w:numPr>
          <w:ilvl w:val="0"/>
          <w:numId w:val="2"/>
        </w:numPr>
        <w:spacing w:after="80"/>
      </w:pPr>
      <w:r>
        <w:rPr>
          <w:rFonts w:ascii="Calibri" w:cs="Calibri" w:eastAsia="Calibri" w:hAnsi="Calibri"/>
          <w:color w:val="262626"/>
          <w:sz w:val="22"/>
          <w:szCs w:val="22"/>
        </w:rPr>
        <w:t xml:space="preserve">What feedback did the business stakeholder provide about the user-visible experience of governed agents.</w:t>
      </w:r>
    </w:p>
    <w:p>
      <w:pPr>
        <w:pStyle w:val="ListParagraph"/>
        <w:numPr>
          <w:ilvl w:val="0"/>
          <w:numId w:val="2"/>
        </w:numPr>
        <w:spacing w:after="80"/>
      </w:pPr>
      <w:r>
        <w:rPr>
          <w:rFonts w:ascii="Calibri" w:cs="Calibri" w:eastAsia="Calibri" w:hAnsi="Calibri"/>
          <w:color w:val="262626"/>
          <w:sz w:val="22"/>
          <w:szCs w:val="22"/>
        </w:rPr>
        <w:t xml:space="preserve">What changes to the 36-control registry or the 19 bundles are proposed for v11.5.</w:t>
      </w:r>
    </w:p>
    <w:p>
      <w:pPr>
        <w:pStyle w:val="Heading2"/>
        <w:spacing w:after="140" w:before="280"/>
      </w:pPr>
      <w:r>
        <w:rPr>
          <w:rFonts w:ascii="Calibri" w:cs="Calibri" w:eastAsia="Calibri" w:hAnsi="Calibri"/>
          <w:b/>
          <w:bCs/>
          <w:color w:val="2E75B6"/>
          <w:sz w:val="26"/>
          <w:szCs w:val="26"/>
        </w:rPr>
        <w:t xml:space="preserve">10.2. Scale-up decision tree</w:t>
      </w:r>
    </w:p>
    <w:p>
      <w:pPr>
        <w:spacing w:after="140" w:line="300"/>
        <w:jc w:val="both"/>
      </w:pPr>
      <w:r>
        <w:rPr>
          <w:rFonts w:ascii="Calibri" w:cs="Calibri" w:eastAsia="Calibri" w:hAnsi="Calibri"/>
          <w:color w:val="262626"/>
          <w:sz w:val="22"/>
          <w:szCs w:val="22"/>
        </w:rPr>
        <w:t xml:space="preserve">If the pilot earned a GO, the scale-up decision tree is:</w:t>
      </w:r>
    </w:p>
    <w:p>
      <w:pPr>
        <w:pStyle w:val="ListParagraph"/>
        <w:numPr>
          <w:ilvl w:val="0"/>
          <w:numId w:val="1"/>
        </w:numPr>
        <w:spacing w:after="80"/>
      </w:pPr>
      <w:r>
        <w:rPr>
          <w:rFonts w:ascii="Calibri" w:cs="Calibri" w:eastAsia="Calibri" w:hAnsi="Calibri"/>
          <w:color w:val="262626"/>
          <w:sz w:val="22"/>
          <w:szCs w:val="22"/>
        </w:rPr>
        <w:t xml:space="preserve">Expand to a second bounded use case within the same customer under the same ARHIAX deployment. Timeline: 6 weeks. Reuse the same values file with minor adjustments.</w:t>
      </w:r>
    </w:p>
    <w:p>
      <w:pPr>
        <w:pStyle w:val="ListParagraph"/>
        <w:numPr>
          <w:ilvl w:val="0"/>
          <w:numId w:val="1"/>
        </w:numPr>
        <w:spacing w:after="80"/>
      </w:pPr>
      <w:r>
        <w:rPr>
          <w:rFonts w:ascii="Calibri" w:cs="Calibri" w:eastAsia="Calibri" w:hAnsi="Calibri"/>
          <w:color w:val="262626"/>
          <w:sz w:val="22"/>
          <w:szCs w:val="22"/>
        </w:rPr>
        <w:t xml:space="preserve">Expand to a second pilot with a different customer in the same vertical (e.g., second PSAV for Brasil). Timeline: 10 weeks following this playbook. Reuse the same values file with customer-specific secrets.</w:t>
      </w:r>
    </w:p>
    <w:p>
      <w:pPr>
        <w:pStyle w:val="ListParagraph"/>
        <w:numPr>
          <w:ilvl w:val="0"/>
          <w:numId w:val="1"/>
        </w:numPr>
        <w:spacing w:after="80"/>
      </w:pPr>
      <w:r>
        <w:rPr>
          <w:rFonts w:ascii="Calibri" w:cs="Calibri" w:eastAsia="Calibri" w:hAnsi="Calibri"/>
          <w:color w:val="262626"/>
          <w:sz w:val="22"/>
          <w:szCs w:val="22"/>
        </w:rPr>
        <w:t xml:space="preserve">Promote agents from A1/A2 to A3 following the full promotion gate sequence in AUT-C01..C05. Requires board approval per the Governance Registry.</w:t>
      </w:r>
    </w:p>
    <w:p>
      <w:pPr>
        <w:spacing w:after="140" w:line="300"/>
        <w:jc w:val="both"/>
      </w:pPr>
      <w:r>
        <w:rPr>
          <w:rFonts w:ascii="Calibri" w:cs="Calibri" w:eastAsia="Calibri" w:hAnsi="Calibri"/>
          <w:color w:val="262626"/>
          <w:sz w:val="22"/>
          <w:szCs w:val="22"/>
        </w:rPr>
        <w:t xml:space="preserve">If the pilot earned a conditional GO (score 70–84), the scale-up decision tree is:</w:t>
      </w:r>
    </w:p>
    <w:p>
      <w:pPr>
        <w:pStyle w:val="ListParagraph"/>
        <w:numPr>
          <w:ilvl w:val="0"/>
          <w:numId w:val="1"/>
        </w:numPr>
        <w:spacing w:after="80"/>
      </w:pPr>
      <w:r>
        <w:rPr>
          <w:rFonts w:ascii="Calibri" w:cs="Calibri" w:eastAsia="Calibri" w:hAnsi="Calibri"/>
          <w:color w:val="262626"/>
          <w:sz w:val="22"/>
          <w:szCs w:val="22"/>
        </w:rPr>
        <w:t xml:space="preserve">Remediation period of up to 4 weeks addressing the specific scorecard deficiencies, followed by a 2-week validation window running only the failed metrics.</w:t>
      </w:r>
    </w:p>
    <w:p>
      <w:pPr>
        <w:pStyle w:val="ListParagraph"/>
        <w:numPr>
          <w:ilvl w:val="0"/>
          <w:numId w:val="1"/>
        </w:numPr>
        <w:spacing w:after="80"/>
      </w:pPr>
      <w:r>
        <w:rPr>
          <w:rFonts w:ascii="Calibri" w:cs="Calibri" w:eastAsia="Calibri" w:hAnsi="Calibri"/>
          <w:color w:val="262626"/>
          <w:sz w:val="22"/>
          <w:szCs w:val="22"/>
        </w:rPr>
        <w:t xml:space="preserve">Re-convene the go/no-go meeting after the validation window with the updated scorecard. Full GO requires 85/100 on the second measurement.</w:t>
      </w:r>
    </w:p>
    <w:p>
      <w:pPr>
        <w:spacing w:after="140" w:line="300"/>
        <w:jc w:val="both"/>
      </w:pPr>
      <w:r>
        <w:rPr>
          <w:rFonts w:ascii="Calibri" w:cs="Calibri" w:eastAsia="Calibri" w:hAnsi="Calibri"/>
          <w:color w:val="262626"/>
          <w:sz w:val="22"/>
          <w:szCs w:val="22"/>
        </w:rPr>
        <w:t xml:space="preserve">If the pilot earned a NO-GO (score below 70), the scale-up conversation is paused. The retrospective produces a remediation plan with concrete dates, and a new pilot is scheduled no earlier than 8 weeks out to allow for real remediation (not cosmetic fixes).</w:t>
      </w:r>
    </w:p>
    <w:p>
      <w:pPr>
        <w:spacing w:after="120"/>
      </w:pPr>
      <w:r>
        <w:rPr>
          <w:rFonts w:ascii="Calibri" w:cs="Calibri" w:eastAsia="Calibri" w:hAnsi="Calibri"/>
        </w:rPr>
        <w:t xml:space="preserve"> </w:t>
      </w:r>
    </w:p>
    <w:tbl>
      <w:tblPr>
        <w:tblW w:type="pct" w:w="100%"/>
        <w:tblBorders>
          <w:top w:val="single" w:color="548235" w:sz="12"/>
          <w:left w:val="single" w:color="548235" w:sz="12"/>
          <w:bottom w:val="single" w:color="548235" w:sz="12"/>
          <w:right w:val="single" w:color="548235" w:sz="12"/>
          <w:insideH w:val="none"/>
          <w:insideV w:val="none"/>
        </w:tblBorders>
      </w:tblPr>
      <w:tblGrid>
        <w:gridCol w:w="100"/>
      </w:tblGrid>
      <w:tr>
        <w:tc>
          <w:tcPr>
            <w:shd w:fill="E2EFDA" w:val="clear"/>
            <w:tcMar>
              <w:top w:type="dxa" w:w="160"/>
              <w:left w:type="dxa" w:w="200"/>
              <w:bottom w:type="dxa" w:w="160"/>
              <w:right w:type="dxa" w:w="200"/>
            </w:tcMar>
          </w:tcPr>
          <w:p>
            <w:pPr>
              <w:spacing w:after="80"/>
            </w:pPr>
            <w:r>
              <w:rPr>
                <w:rFonts w:ascii="Calibri" w:cs="Calibri" w:eastAsia="Calibri" w:hAnsi="Calibri"/>
                <w:b/>
                <w:bCs/>
                <w:color w:val="548235"/>
                <w:sz w:val="22"/>
                <w:szCs w:val="22"/>
              </w:rPr>
              <w:t xml:space="preserve">Cross-pilot learning</w:t>
            </w:r>
          </w:p>
          <w:p>
            <w:r>
              <w:rPr>
                <w:rFonts w:ascii="Calibri" w:cs="Calibri" w:eastAsia="Calibri" w:hAnsi="Calibri"/>
                <w:color w:val="262626"/>
                <w:sz w:val="20"/>
                <w:szCs w:val="20"/>
              </w:rPr>
              <w:t xml:space="preserve">Lessons from each of the three active pilots feed back into the other two. SPRBUN discoveries about air-gapped operation inform the Brasil deployment. Brasil discoveries about strict PII enforcement inform the HFL shadow mode. HFL discoveries about sub-20ms latency inform both. The pilot owner for each pilot is responsible for reading the post-pilot retrospectives of the other two before completing their own go/no-go scorecard.</w:t>
            </w:r>
          </w:p>
        </w:tc>
      </w:tr>
    </w:tbl>
    <w:p>
      <w:pPr>
        <w:spacing w:after="120"/>
      </w:pPr>
      <w:r>
        <w:rPr>
          <w:rFonts w:ascii="Calibri" w:cs="Calibri" w:eastAsia="Calibri" w:hAnsi="Calibri"/>
        </w:rPr>
        <w:t xml:space="preserve"> </w:t>
      </w:r>
    </w:p>
    <w:p>
      <w:pPr>
        <w:spacing w:after="120"/>
      </w:pPr>
      <w:r>
        <w:rPr>
          <w:rFonts w:ascii="Calibri" w:cs="Calibri" w:eastAsia="Calibri" w:hAnsi="Calibri"/>
        </w:rPr>
        <w:t xml:space="preserve"> </w:t>
      </w:r>
    </w:p>
    <w:p>
      <w:pPr>
        <w:spacing w:after="200" w:before="400"/>
        <w:jc w:val="center"/>
      </w:pPr>
      <w:r>
        <w:rPr>
          <w:rFonts w:ascii="Calibri" w:cs="Calibri" w:eastAsia="Calibri" w:hAnsi="Calibri"/>
          <w:i/>
          <w:iCs/>
          <w:color w:val="595959"/>
          <w:sz w:val="20"/>
          <w:szCs w:val="20"/>
        </w:rPr>
        <w:t xml:space="preserve">— End of Document —</w:t>
      </w:r>
    </w:p>
    <w:p>
      <w:pPr>
        <w:jc w:val="center"/>
      </w:pPr>
      <w:r>
        <w:rPr>
          <w:rFonts w:ascii="Calibri" w:cs="Calibri" w:eastAsia="Calibri" w:hAnsi="Calibri"/>
          <w:color w:val="595959"/>
          <w:sz w:val="18"/>
          <w:szCs w:val="18"/>
        </w:rPr>
        <w:t xml:space="preserve">ARHIAX v11.4 · Enterprise Pilot Playbook · v1.0</w:t>
      </w:r>
    </w:p>
    <w:p>
      <w:pPr>
        <w:jc w:val="center"/>
      </w:pPr>
      <w:r>
        <w:rPr>
          <w:rFonts w:ascii="Calibri" w:cs="Calibri" w:eastAsia="Calibri" w:hAnsi="Calibri"/>
          <w:color w:val="595959"/>
          <w:sz w:val="18"/>
          <w:szCs w:val="18"/>
        </w:rPr>
        <w:t xml:space="preserve">Sinergia Consulting Group S.A.S.  ·  Barranquilla, Colombia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Sinergia Consulting Group S.A.S.  ·  Confidencial  ·  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ARHIAX v11.4 — Enterprise Pilot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F3864"/>
      <w:sz w:val="32"/>
      <w:szCs w:val="32"/>
    </w:rPr>
  </w:style>
  <w:style w:type="paragraph" w:styleId="Heading2">
    <w:name w:val="Heading 2"/>
    <w:basedOn w:val="Normal"/>
    <w:next w:val="Normal"/>
    <w:pPr>
      <w:spacing w:after="140" w:before="280"/>
    </w:pPr>
    <w:rPr>
      <w:rFonts w:ascii="Calibri" w:cs="Calibri" w:eastAsia="Calibri" w:hAnsi="Calibri"/>
      <w:b/>
      <w:bCs/>
      <w:color w:val="2E75B6"/>
      <w:sz w:val="26"/>
      <w:szCs w:val="26"/>
    </w:rPr>
  </w:style>
  <w:style w:type="paragraph" w:styleId="Heading3">
    <w:name w:val="Heading 3"/>
    <w:basedOn w:val="Normal"/>
    <w:next w:val="Normal"/>
    <w:pPr>
      <w:spacing w:after="100" w:before="20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ARHIAX v11.4 Enterprise Pilot Playbook</dc:title>
  <dc:creator>Sinergia Consulting Group S.A.S.</dc:creator>
  <dc:description>Operational playbook for ARHIAX v11.4 enterprise pilots</dc:description>
  <cp:lastModifiedBy>Un-named</cp:lastModifiedBy>
  <cp:revision>1</cp:revision>
  <dcterms:created xsi:type="dcterms:W3CDTF">2026-04-07T23:01:00.745Z</dcterms:created>
  <dcterms:modified xsi:type="dcterms:W3CDTF">2026-04-07T23:01:00.746Z</dcterms:modified>
</cp:coreProperties>
</file>

<file path=docProps/custom.xml><?xml version="1.0" encoding="utf-8"?>
<Properties xmlns="http://schemas.openxmlformats.org/officeDocument/2006/custom-properties" xmlns:vt="http://schemas.openxmlformats.org/officeDocument/2006/docPropsVTypes"/>
</file>