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Calibri" w:cs="Calibri" w:eastAsia="Calibri" w:hAnsi="Calibri"/>
        </w:rPr>
        <w:t xml:space="preserve"> </w:t>
      </w:r>
    </w:p>
    <w:p>
      <w:pPr>
        <w:spacing w:after="200"/>
        <w:jc w:val="center"/>
      </w:pPr>
      <w:r>
        <w:rPr>
          <w:rFonts w:ascii="Calibri" w:cs="Calibri" w:eastAsia="Calibri" w:hAnsi="Calibri"/>
          <w:b/>
          <w:bCs/>
          <w:color w:val="2E75B6"/>
          <w:sz w:val="36"/>
          <w:szCs w:val="36"/>
        </w:rPr>
        <w:t xml:space="preserve">ARHIAX v11.4</w:t>
      </w:r>
    </w:p>
    <w:p>
      <w:pPr>
        <w:spacing w:after="240"/>
        <w:jc w:val="center"/>
      </w:pPr>
      <w:r>
        <w:rPr>
          <w:rFonts w:ascii="Calibri" w:cs="Calibri" w:eastAsia="Calibri" w:hAnsi="Calibri"/>
          <w:b/>
          <w:bCs/>
          <w:color w:val="1F3864"/>
          <w:sz w:val="56"/>
          <w:szCs w:val="56"/>
        </w:rPr>
        <w:t xml:space="preserve">Incident Response Runbooks</w:t>
      </w:r>
    </w:p>
    <w:p>
      <w:pPr>
        <w:spacing w:after="2400"/>
        <w:jc w:val="center"/>
      </w:pPr>
      <w:r>
        <w:rPr>
          <w:rFonts w:ascii="Calibri" w:cs="Calibri" w:eastAsia="Calibri" w:hAnsi="Calibri"/>
          <w:i/>
          <w:iCs/>
          <w:color w:val="595959"/>
          <w:sz w:val="28"/>
          <w:szCs w:val="28"/>
        </w:rPr>
        <w:t xml:space="preserve">19 Generic Runbooks for Bundles B01–B19</w:t>
      </w:r>
    </w:p>
    <w:p>
      <w:pPr>
        <w:spacing w:after="120"/>
        <w:jc w:val="center"/>
      </w:pPr>
      <w:r>
        <w:rPr>
          <w:rFonts w:ascii="Calibri" w:cs="Calibri" w:eastAsia="Calibri" w:hAnsi="Calibri"/>
          <w:color w:val="262626"/>
          <w:sz w:val="22"/>
          <w:szCs w:val="22"/>
        </w:rPr>
        <w:t xml:space="preserve">Document ID: ARHIAX-v114-IRR-001</w:t>
      </w:r>
    </w:p>
    <w:p>
      <w:pPr>
        <w:spacing w:after="120"/>
        <w:jc w:val="center"/>
      </w:pPr>
      <w:r>
        <w:rPr>
          <w:rFonts w:ascii="Calibri" w:cs="Calibri" w:eastAsia="Calibri" w:hAnsi="Calibri"/>
          <w:color w:val="262626"/>
          <w:sz w:val="22"/>
          <w:szCs w:val="22"/>
        </w:rPr>
        <w:t xml:space="preserve">Version: v1.0  ·  Date: 2026-04-07</w:t>
      </w:r>
    </w:p>
    <w:p>
      <w:pPr>
        <w:spacing w:after="120"/>
        <w:jc w:val="center"/>
      </w:pPr>
      <w:r>
        <w:rPr>
          <w:rFonts w:ascii="Calibri" w:cs="Calibri" w:eastAsia="Calibri" w:hAnsi="Calibri"/>
          <w:color w:val="262626"/>
          <w:sz w:val="22"/>
          <w:szCs w:val="22"/>
        </w:rPr>
        <w:t xml:space="preserve">Sinergia Consulting Group S.A.S.  ·  Barranquilla, Colombia</w:t>
      </w:r>
    </w:p>
    <w:p>
      <w:pPr>
        <w:spacing w:after="120"/>
        <w:jc w:val="center"/>
      </w:pPr>
      <w:r>
        <w:rPr>
          <w:rFonts w:ascii="Calibri" w:cs="Calibri" w:eastAsia="Calibri" w:hAnsi="Calibri"/>
          <w:b/>
          <w:bCs/>
          <w:color w:val="C55A11"/>
          <w:sz w:val="20"/>
          <w:szCs w:val="20"/>
        </w:rPr>
        <w:t xml:space="preserve">INTERNO · CONFIDENCIAL</w:t>
      </w:r>
    </w:p>
    <w:p>
      <w:r>
        <w:br w:type="page"/>
      </w:r>
    </w:p>
    <w:p>
      <w:pPr>
        <w:pStyle w:val="Heading1"/>
        <w:spacing w:after="180" w:before="360"/>
      </w:pPr>
      <w:r>
        <w:rPr>
          <w:rFonts w:ascii="Calibri" w:cs="Calibri" w:eastAsia="Calibri" w:hAnsi="Calibri"/>
          <w:b/>
          <w:bCs/>
          <w:color w:val="1F3864"/>
          <w:sz w:val="32"/>
          <w:szCs w:val="32"/>
        </w:rPr>
        <w:t xml:space="preserve">1. Overview</w:t>
      </w:r>
    </w:p>
    <w:p>
      <w:pPr>
        <w:spacing w:after="140" w:line="300"/>
        <w:jc w:val="both"/>
      </w:pPr>
      <w:r>
        <w:rPr>
          <w:rFonts w:ascii="Calibri" w:cs="Calibri" w:eastAsia="Calibri" w:hAnsi="Calibri"/>
          <w:color w:val="262626"/>
          <w:sz w:val="22"/>
          <w:szCs w:val="22"/>
        </w:rPr>
        <w:t xml:space="preserve">This document provides nineteen generic incident response runbooks, one per OPA bundle in the ARHIAX v11.4 runtime (B01 through B19). Each runbook follows the same structured schema and is applicable to any pilot (PORT-MAS @ SPRBUN, ARHIAX Brasil, ARHIA HFL, or future deployments). Pilot-specific customizations, if any, are layered on top of these generic runbooks through pilot-specific values files and operational addenda.</w:t>
      </w:r>
    </w:p>
    <w:p>
      <w:pPr>
        <w:spacing w:after="140" w:line="300"/>
        <w:jc w:val="both"/>
      </w:pPr>
      <w:r>
        <w:rPr>
          <w:rFonts w:ascii="Calibri" w:cs="Calibri" w:eastAsia="Calibri" w:hAnsi="Calibri"/>
          <w:color w:val="262626"/>
          <w:sz w:val="22"/>
          <w:szCs w:val="22"/>
        </w:rPr>
        <w:t xml:space="preserve">The runbooks are designed to be executed by on-call responders without requiring deep ARHIAX architectural knowledge at the moment of incident. Each runbook is self-contained: it states the trigger condition, the severity classification, the first responder, the four escalation gates (T+0, T+5 min, T+15 min, T+1 h), the containment steps, the investigation procedure, the remediation steps, and the post-mortem template.</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Reading this document</w:t>
            </w:r>
          </w:p>
          <w:p>
            <w:r>
              <w:rPr>
                <w:rFonts w:ascii="Calibri" w:cs="Calibri" w:eastAsia="Calibri" w:hAnsi="Calibri"/>
                <w:color w:val="262626"/>
                <w:sz w:val="20"/>
                <w:szCs w:val="20"/>
              </w:rPr>
              <w:t xml:space="preserve">In an active incident, navigate directly to the section for the triggering bundle. Do not read sequentially. Each runbook section is self-contained and contains all the information needed to execute the response. Use this document as a reference, not a procedure to memorize.</w:t>
            </w:r>
          </w:p>
        </w:tc>
      </w:tr>
    </w:tbl>
    <w:p>
      <w:pPr>
        <w:pStyle w:val="Heading2"/>
        <w:spacing w:after="140" w:before="280"/>
      </w:pPr>
      <w:r>
        <w:rPr>
          <w:rFonts w:ascii="Calibri" w:cs="Calibri" w:eastAsia="Calibri" w:hAnsi="Calibri"/>
          <w:b/>
          <w:bCs/>
          <w:color w:val="2E75B6"/>
          <w:sz w:val="26"/>
          <w:szCs w:val="26"/>
        </w:rPr>
        <w:t xml:space="preserve">1.1. Common schema</w:t>
      </w:r>
    </w:p>
    <w:p>
      <w:pPr>
        <w:spacing w:after="140" w:line="300"/>
        <w:jc w:val="both"/>
      </w:pPr>
      <w:r>
        <w:rPr>
          <w:rFonts w:ascii="Calibri" w:cs="Calibri" w:eastAsia="Calibri" w:hAnsi="Calibri"/>
          <w:color w:val="262626"/>
          <w:sz w:val="22"/>
          <w:szCs w:val="22"/>
        </w:rPr>
        <w:t xml:space="preserve">All 19 runbooks share the following schema:</w:t>
      </w:r>
    </w:p>
    <w:p>
      <w:pPr>
        <w:pStyle w:val="ListParagraph"/>
        <w:numPr>
          <w:ilvl w:val="0"/>
          <w:numId w:val="1"/>
        </w:numPr>
        <w:spacing w:after="80"/>
      </w:pPr>
      <w:r>
        <w:rPr>
          <w:rFonts w:ascii="Calibri" w:cs="Calibri" w:eastAsia="Calibri" w:hAnsi="Calibri"/>
          <w:color w:val="262626"/>
          <w:sz w:val="22"/>
          <w:szCs w:val="22"/>
        </w:rPr>
        <w:t xml:space="preserve">Family: Runtime, Lifecycle, or Governance — identifies the layer at which the bundle operates.</w:t>
      </w:r>
    </w:p>
    <w:p>
      <w:pPr>
        <w:pStyle w:val="ListParagraph"/>
        <w:numPr>
          <w:ilvl w:val="0"/>
          <w:numId w:val="1"/>
        </w:numPr>
        <w:spacing w:after="80"/>
      </w:pPr>
      <w:r>
        <w:rPr>
          <w:rFonts w:ascii="Calibri" w:cs="Calibri" w:eastAsia="Calibri" w:hAnsi="Calibri"/>
          <w:color w:val="262626"/>
          <w:sz w:val="22"/>
          <w:szCs w:val="22"/>
        </w:rPr>
        <w:t xml:space="preserve">Purpose: one-sentence description of what the bundle enforces.</w:t>
      </w:r>
    </w:p>
    <w:p>
      <w:pPr>
        <w:pStyle w:val="ListParagraph"/>
        <w:numPr>
          <w:ilvl w:val="0"/>
          <w:numId w:val="1"/>
        </w:numPr>
        <w:spacing w:after="80"/>
      </w:pPr>
      <w:r>
        <w:rPr>
          <w:rFonts w:ascii="Calibri" w:cs="Calibri" w:eastAsia="Calibri" w:hAnsi="Calibri"/>
          <w:color w:val="262626"/>
          <w:sz w:val="22"/>
          <w:szCs w:val="22"/>
        </w:rPr>
        <w:t xml:space="preserve">Trigger condition: what causes the bundle to emit a DENY or DENY_WITH_INCIDENT outcome that initiates the runbook.</w:t>
      </w:r>
    </w:p>
    <w:p>
      <w:pPr>
        <w:pStyle w:val="ListParagraph"/>
        <w:numPr>
          <w:ilvl w:val="0"/>
          <w:numId w:val="1"/>
        </w:numPr>
        <w:spacing w:after="80"/>
      </w:pPr>
      <w:r>
        <w:rPr>
          <w:rFonts w:ascii="Calibri" w:cs="Calibri" w:eastAsia="Calibri" w:hAnsi="Calibri"/>
          <w:color w:val="262626"/>
          <w:sz w:val="22"/>
          <w:szCs w:val="22"/>
        </w:rPr>
        <w:t xml:space="preserve">Severity: baseline severity classification with conditions that escalate it.</w:t>
      </w:r>
    </w:p>
    <w:p>
      <w:pPr>
        <w:pStyle w:val="ListParagraph"/>
        <w:numPr>
          <w:ilvl w:val="0"/>
          <w:numId w:val="1"/>
        </w:numPr>
        <w:spacing w:after="80"/>
      </w:pPr>
      <w:r>
        <w:rPr>
          <w:rFonts w:ascii="Calibri" w:cs="Calibri" w:eastAsia="Calibri" w:hAnsi="Calibri"/>
          <w:color w:val="262626"/>
          <w:sz w:val="22"/>
          <w:szCs w:val="22"/>
        </w:rPr>
        <w:t xml:space="preserve">First responder: the role that is paged first.</w:t>
      </w:r>
    </w:p>
    <w:p>
      <w:pPr>
        <w:pStyle w:val="ListParagraph"/>
        <w:numPr>
          <w:ilvl w:val="0"/>
          <w:numId w:val="1"/>
        </w:numPr>
        <w:spacing w:after="80"/>
      </w:pPr>
      <w:r>
        <w:rPr>
          <w:rFonts w:ascii="Calibri" w:cs="Calibri" w:eastAsia="Calibri" w:hAnsi="Calibri"/>
          <w:color w:val="262626"/>
          <w:sz w:val="22"/>
          <w:szCs w:val="22"/>
        </w:rPr>
        <w:t xml:space="preserve">Escalation gates at T+0, T+5 minutes, T+15 minutes, and T+1 hour.</w:t>
      </w:r>
    </w:p>
    <w:p>
      <w:pPr>
        <w:pStyle w:val="ListParagraph"/>
        <w:numPr>
          <w:ilvl w:val="0"/>
          <w:numId w:val="1"/>
        </w:numPr>
        <w:spacing w:after="80"/>
      </w:pPr>
      <w:r>
        <w:rPr>
          <w:rFonts w:ascii="Calibri" w:cs="Calibri" w:eastAsia="Calibri" w:hAnsi="Calibri"/>
          <w:color w:val="262626"/>
          <w:sz w:val="22"/>
          <w:szCs w:val="22"/>
        </w:rPr>
        <w:t xml:space="preserve">Containment: immediate steps to limit blast radius.</w:t>
      </w:r>
    </w:p>
    <w:p>
      <w:pPr>
        <w:pStyle w:val="ListParagraph"/>
        <w:numPr>
          <w:ilvl w:val="0"/>
          <w:numId w:val="1"/>
        </w:numPr>
        <w:spacing w:after="80"/>
      </w:pPr>
      <w:r>
        <w:rPr>
          <w:rFonts w:ascii="Calibri" w:cs="Calibri" w:eastAsia="Calibri" w:hAnsi="Calibri"/>
          <w:color w:val="262626"/>
          <w:sz w:val="22"/>
          <w:szCs w:val="22"/>
        </w:rPr>
        <w:t xml:space="preserve">Investigation: procedure to determine root cause.</w:t>
      </w:r>
    </w:p>
    <w:p>
      <w:pPr>
        <w:pStyle w:val="ListParagraph"/>
        <w:numPr>
          <w:ilvl w:val="0"/>
          <w:numId w:val="1"/>
        </w:numPr>
        <w:spacing w:after="80"/>
      </w:pPr>
      <w:r>
        <w:rPr>
          <w:rFonts w:ascii="Calibri" w:cs="Calibri" w:eastAsia="Calibri" w:hAnsi="Calibri"/>
          <w:color w:val="262626"/>
          <w:sz w:val="22"/>
          <w:szCs w:val="22"/>
        </w:rPr>
        <w:t xml:space="preserve">Remediation: steps to resolve the root cause.</w:t>
      </w:r>
    </w:p>
    <w:p>
      <w:pPr>
        <w:pStyle w:val="ListParagraph"/>
        <w:numPr>
          <w:ilvl w:val="0"/>
          <w:numId w:val="1"/>
        </w:numPr>
        <w:spacing w:after="80"/>
      </w:pPr>
      <w:r>
        <w:rPr>
          <w:rFonts w:ascii="Calibri" w:cs="Calibri" w:eastAsia="Calibri" w:hAnsi="Calibri"/>
          <w:color w:val="262626"/>
          <w:sz w:val="22"/>
          <w:szCs w:val="22"/>
        </w:rPr>
        <w:t xml:space="preserve">Post-mortem: what to capture for retrospective review.</w:t>
      </w:r>
    </w:p>
    <w:p>
      <w:pPr>
        <w:pStyle w:val="ListParagraph"/>
        <w:numPr>
          <w:ilvl w:val="0"/>
          <w:numId w:val="1"/>
        </w:numPr>
        <w:spacing w:after="80"/>
      </w:pPr>
      <w:r>
        <w:rPr>
          <w:rFonts w:ascii="Calibri" w:cs="Calibri" w:eastAsia="Calibri" w:hAnsi="Calibri"/>
          <w:color w:val="262626"/>
          <w:sz w:val="22"/>
          <w:szCs w:val="22"/>
        </w:rPr>
        <w:t xml:space="preserve">Success criteria: objective conditions for marking the incident as resolved.</w:t>
      </w:r>
    </w:p>
    <w:p>
      <w:pPr>
        <w:pStyle w:val="Heading2"/>
        <w:spacing w:after="140" w:before="280"/>
      </w:pPr>
      <w:r>
        <w:rPr>
          <w:rFonts w:ascii="Calibri" w:cs="Calibri" w:eastAsia="Calibri" w:hAnsi="Calibri"/>
          <w:b/>
          <w:bCs/>
          <w:color w:val="2E75B6"/>
          <w:sz w:val="26"/>
          <w:szCs w:val="26"/>
        </w:rPr>
        <w:t xml:space="preserve">1.2. Roles referenced in this document</w:t>
      </w:r>
    </w:p>
    <w:p>
      <w:pPr>
        <w:pStyle w:val="ListParagraph"/>
        <w:numPr>
          <w:ilvl w:val="0"/>
          <w:numId w:val="1"/>
        </w:numPr>
        <w:spacing w:after="80"/>
      </w:pPr>
      <w:r>
        <w:rPr>
          <w:rFonts w:ascii="Calibri" w:cs="Calibri" w:eastAsia="Calibri" w:hAnsi="Calibri"/>
          <w:color w:val="262626"/>
          <w:sz w:val="22"/>
          <w:szCs w:val="22"/>
        </w:rPr>
        <w:t xml:space="preserve">SRE — Site Reliability Engineer: first line for runtime and operational issues.</w:t>
      </w:r>
    </w:p>
    <w:p>
      <w:pPr>
        <w:pStyle w:val="ListParagraph"/>
        <w:numPr>
          <w:ilvl w:val="0"/>
          <w:numId w:val="1"/>
        </w:numPr>
        <w:spacing w:after="80"/>
      </w:pPr>
      <w:r>
        <w:rPr>
          <w:rFonts w:ascii="Calibri" w:cs="Calibri" w:eastAsia="Calibri" w:hAnsi="Calibri"/>
          <w:color w:val="262626"/>
          <w:sz w:val="22"/>
          <w:szCs w:val="22"/>
        </w:rPr>
        <w:t xml:space="preserve">Security Officer — Security Operations: first line for security-category incidents.</w:t>
      </w:r>
    </w:p>
    <w:p>
      <w:pPr>
        <w:pStyle w:val="ListParagraph"/>
        <w:numPr>
          <w:ilvl w:val="0"/>
          <w:numId w:val="1"/>
        </w:numPr>
        <w:spacing w:after="80"/>
      </w:pPr>
      <w:r>
        <w:rPr>
          <w:rFonts w:ascii="Calibri" w:cs="Calibri" w:eastAsia="Calibri" w:hAnsi="Calibri"/>
          <w:color w:val="262626"/>
          <w:sz w:val="22"/>
          <w:szCs w:val="22"/>
        </w:rPr>
        <w:t xml:space="preserve">Technical Lead — Engineering lead for the ATK service: escalation target for bundle configuration issues.</w:t>
      </w:r>
    </w:p>
    <w:p>
      <w:pPr>
        <w:pStyle w:val="ListParagraph"/>
        <w:numPr>
          <w:ilvl w:val="0"/>
          <w:numId w:val="1"/>
        </w:numPr>
        <w:spacing w:after="80"/>
      </w:pPr>
      <w:r>
        <w:rPr>
          <w:rFonts w:ascii="Calibri" w:cs="Calibri" w:eastAsia="Calibri" w:hAnsi="Calibri"/>
          <w:color w:val="262626"/>
          <w:sz w:val="22"/>
          <w:szCs w:val="22"/>
        </w:rPr>
        <w:t xml:space="preserve">Sponsor — Executive owner of the pilot: escalation target for business-impact incidents.</w:t>
      </w:r>
    </w:p>
    <w:p>
      <w:pPr>
        <w:pStyle w:val="ListParagraph"/>
        <w:numPr>
          <w:ilvl w:val="0"/>
          <w:numId w:val="1"/>
        </w:numPr>
        <w:spacing w:after="80"/>
      </w:pPr>
      <w:r>
        <w:rPr>
          <w:rFonts w:ascii="Calibri" w:cs="Calibri" w:eastAsia="Calibri" w:hAnsi="Calibri"/>
          <w:color w:val="262626"/>
          <w:sz w:val="22"/>
          <w:szCs w:val="22"/>
        </w:rPr>
        <w:t xml:space="preserve">Auditor — Independent reviewer: invoked for integrity incidents.</w:t>
      </w:r>
    </w:p>
    <w:p>
      <w:pPr>
        <w:pStyle w:val="ListParagraph"/>
        <w:numPr>
          <w:ilvl w:val="0"/>
          <w:numId w:val="1"/>
        </w:numPr>
        <w:spacing w:after="80"/>
      </w:pPr>
      <w:r>
        <w:rPr>
          <w:rFonts w:ascii="Calibri" w:cs="Calibri" w:eastAsia="Calibri" w:hAnsi="Calibri"/>
          <w:color w:val="262626"/>
          <w:sz w:val="22"/>
          <w:szCs w:val="22"/>
        </w:rPr>
        <w:t xml:space="preserve">Business Stakeholder — Owner of the business use case: invoked when business KPIs are at risk.</w:t>
      </w:r>
    </w:p>
    <w:p>
      <w:pPr>
        <w:pStyle w:val="ListParagraph"/>
        <w:numPr>
          <w:ilvl w:val="0"/>
          <w:numId w:val="1"/>
        </w:numPr>
        <w:spacing w:after="80"/>
      </w:pPr>
      <w:r>
        <w:rPr>
          <w:rFonts w:ascii="Calibri" w:cs="Calibri" w:eastAsia="Calibri" w:hAnsi="Calibri"/>
          <w:color w:val="262626"/>
          <w:sz w:val="22"/>
          <w:szCs w:val="22"/>
        </w:rPr>
        <w:t xml:space="preserve">DPO — Data Protection Officer (Brasil pilot only): first line for LGPD-scope incidents.</w:t>
      </w:r>
    </w:p>
    <w:p>
      <w:pPr>
        <w:pStyle w:val="Heading2"/>
        <w:spacing w:after="140" w:before="280"/>
      </w:pPr>
      <w:r>
        <w:rPr>
          <w:rFonts w:ascii="Calibri" w:cs="Calibri" w:eastAsia="Calibri" w:hAnsi="Calibri"/>
          <w:b/>
          <w:bCs/>
          <w:color w:val="2E75B6"/>
          <w:sz w:val="26"/>
          <w:szCs w:val="26"/>
        </w:rPr>
        <w:t xml:space="preserve">1.3. Severity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Level</w:t>
            </w:r>
          </w:p>
        </w:tc>
        <w:tc>
          <w:tcPr>
            <w:tcW w:type="dxa" w:w="54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Definition</w:t>
            </w:r>
          </w:p>
        </w:tc>
        <w:tc>
          <w:tcPr>
            <w:tcW w:type="dxa" w:w="30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Response SLA</w:t>
            </w:r>
          </w:p>
        </w:tc>
      </w:tr>
      <w:tr>
        <w:tc>
          <w:tcPr>
            <w:tcW w:type="dxa" w:w="2000"/>
            <w:shd w:fill="F4CCCC"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CRITICAL</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Confirmed integrity breach, regulatory exposure, or active exploitation. Business impact is high or unknown.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Immediate response 24/7. Sponsor paged.</w:t>
            </w:r>
          </w:p>
        </w:tc>
      </w:tr>
      <w:tr>
        <w:tc>
          <w:tcPr>
            <w:tcW w:type="dxa" w:w="2000"/>
            <w:shd w:fill="FCE4D6"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HIGH</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Likely security incident, sustained policy violation, or degraded service affecting business KPIs.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Response within 15 minutes during business hours, 30 outside.</w:t>
            </w:r>
          </w:p>
        </w:tc>
      </w:tr>
      <w:tr>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MEDIUM</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Policy violation or enforcement event that requires attention but has no immediate business impact.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Response within 1 hour during business hours.</w:t>
            </w:r>
          </w:p>
        </w:tc>
      </w:tr>
      <w:tr>
        <w:tc>
          <w:tcPr>
            <w:tcW w:type="dxa" w:w="2000"/>
            <w:shd w:fill="E2EFDA"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LOW</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Routine enforcement or informational event. Logged for trend analysis.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individual response; reviewed in weekly metric reports.</w:t>
            </w:r>
          </w:p>
        </w:tc>
      </w:tr>
    </w:tbl>
    <w:p>
      <w:r>
        <w:br w:type="page"/>
      </w:r>
    </w:p>
    <w:p>
      <w:pPr>
        <w:pStyle w:val="Heading1"/>
        <w:spacing w:after="180" w:before="360"/>
      </w:pPr>
      <w:r>
        <w:rPr>
          <w:rFonts w:ascii="Calibri" w:cs="Calibri" w:eastAsia="Calibri" w:hAnsi="Calibri"/>
          <w:b/>
          <w:bCs/>
          <w:color w:val="1F3864"/>
          <w:sz w:val="32"/>
          <w:szCs w:val="32"/>
        </w:rPr>
        <w:t xml:space="preserve">2. The 19 Runbooks</w:t>
      </w:r>
    </w:p>
    <w:p>
      <w:pPr>
        <w:spacing w:after="140" w:line="300"/>
        <w:jc w:val="both"/>
      </w:pPr>
      <w:r>
        <w:rPr>
          <w:rFonts w:ascii="Calibri" w:cs="Calibri" w:eastAsia="Calibri" w:hAnsi="Calibri"/>
          <w:color w:val="262626"/>
          <w:sz w:val="22"/>
          <w:szCs w:val="22"/>
        </w:rPr>
        <w:t xml:space="preserve">The following sections provide the runbook for each bundle. Runbooks are grouped by family (Runtime, Lifecycle, Governance) and presented in numeric bundle order within each family.</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Runtime family</w:t>
      </w:r>
    </w:p>
    <w:p>
      <w:pPr>
        <w:spacing w:after="140" w:line="300"/>
        <w:jc w:val="both"/>
      </w:pPr>
      <w:r>
        <w:rPr>
          <w:rFonts w:ascii="Calibri" w:cs="Calibri" w:eastAsia="Calibri" w:hAnsi="Calibri"/>
          <w:color w:val="262626"/>
          <w:sz w:val="22"/>
          <w:szCs w:val="22"/>
        </w:rPr>
        <w:t xml:space="preserve">The runtime family (B01–B14, B16) governs real-time envelope evaluation: schema validation, rate limiting, content filtering, permission enforcement, and domain-specific checks.</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B01 — Baseline Envelope Validation</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Validates that every incoming envelope conforms to the ARHIAX v11.4 schema: required fields, type constraints, size limits, and correlation ID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B01 emits DENY or DENY_WITH_INCIDENT when an envelope fails schema validation. Common causes: truncated JSON, unknown fields, wrong field types, missing correlation ID, envelopes exceeding 64 KB.</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LOW by default; MEDIUM if the rate exceeds 1% of total traffic; HIGH if it exceeds 10% (indicates upstream malformation or active probing).</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SRE for the ATK service.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Pager notification to on-call SRE. Slack incident channel opened. Automated quarantine not applied; B01 denials are per-envelope only.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SRE confirms alert and begins investigation. Checks arhiax_atk_decisions_total metric for the DENY rate trend over the past hour.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rate is sustained above 5%, Technical Lead is paged. If rate exceeds 10%, Security Officer is paged and Sponsor is informed.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unresolved, Sponsor briefed; decision on whether to enable stricter upstream validation or roll back to previous release.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automated containment; B01 denials do not halt the service. If the rate exceeds 20%, consider temporarily routing traffic to a secondary ATK instance while investigation proceeds.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Query EGA for sampled DENY entries. Identify common envelope fields that fail. Correlate with upstream release or client library changes. Check whether a specific agent ID or operation is overrepresented.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upstream malformation: coordinate with the upstream team to fix the client. If schema evolution required: open an ARHIAX v11.5 schema update proposal with backward compatibility plan.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Root cause, detection latency, time to resolution, affected envelope count, whether any false negatives occurred (i.e., malformed envelopes that were incorrectly ALLOWED).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DENY rate returns to baseline (&lt;0.5%). No unresolved schema issues. Runbook executed within SLA.</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B02 — Rate Limiting</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per-agent and per-tenant rate limits on envelope submissions to prevent runaway agents or denial-of-service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B02 emits DENY with reason RATE_LIMIT_EXCEEDED when an agent exceeds its configured request budget. Sudden spikes trigger HIGH severity.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LOW for isolated breaches; MEDIUM for sustained breaches by a single agent; HIGH for concurrent breaches by multiple agents (possible coordinated incident).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Alert to SRE. Check rate limit dashboard for the offending agent and tenant.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SRE identifies scope: single agent, single tenant, or cross-tenant. Reviews arhiax_atk_decisions_total filtered by agent.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a single agent: coordinate with agent owner. If multiple agents in the same tenant: escalate to Security Officer for tenant review. If cross-tenant: escalate to Security Officer immediately.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unresolved and rate limits are being bypassed, emergency reconfiguration of B02 rate limits with a tighter default is considered.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B02 denies individual over-budget envelopes automatically; no further containment needed unless bypass is detected. If bypass is suspected, disable the agent credential via AIM.</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Check agent log for operational pattern. Verify that the rate limit configuration matches the expected budget. Check BBR baseline for the agent to determine whether the burst is anomalous or expected.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burst: coordinate temporary rate limit increase with Sponsor approval. If malfunctioning agent: demote agent autonomy via AUT or suspend credential via AIM.</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Burst magnitude, duration, whether the rate limit prevented or merely delayed impact, whether the BBR baseline should be updated.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Rate limit breaches returned to baseline. Agent behavior stabilized. No bypass confirmed.</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B03 — Prompt Injection Detection</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Detects prompt injection attempts against agent LLM calls using signature matching and statistical anomaly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B03 emits DENY_WITH_INCIDENT when prompt content matches known injection signatures (e.g., "ignore previous instructions") or when statistical features deviate significantly from baseline.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HIGH by default (prompt injection is a critical ASI-05 threat). CRITICAL if the injection is successful (detected via output inspection) or if it targets agents at autonomy level A3 or A4.</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 SRE informed in parallel.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Pager to Security Officer. HIC ticket automatically opened by B03. Slack security channel notified. Offending envelope quarantined.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triages ticket. Reviews the flagged prompt and the matched signature. Determines whether the detection is a true positive or false positive.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true positive: agent credential placed under watch via AIM. Upstream caller identified and notified. Sponsor informed if the agent operates in customer-facing context.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confirmed attack: full incident response per Sinergia incident policy. If pattern is novel, threat intelligence team is informed for signature update.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B03 denies the envelope in real time (sync path). Ticket escalation is the containment for the actor, not for the message. If the same actor produces 3 injection attempts within 1 hour, automatic demotion to A0 is triggered.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Review full prompt content in EGA (with PII redaction if Brasil ZDE mode). Correlate with other behavioral signals (BBR). Check whether the injection is isolated or part of a pattern across multiple envelopes or agents.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Block offending source at network layer if external. Update B03 signature database if novel pattern. If injection succeeded in any envelope not caught by B03, treat as a regression and halt the ATK service version associated with the gap.</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Injection vector, detection effectiveness, time from first attempt to containment, any downstream impact, required signature updates, whether the incident should feed into a public advisory.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further injection attempts from the offending source. Signature database updated. Post-mortem published internally within 48 hours.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B04 — Output Filtering</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Inspects agent outputs before they reach downstream consumers, filtering for disallowed content, data leakage, and policy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B04 emits DENY or ALLOW_WITH_RESTRICTIONS when output contains filtered content. Filtered categories include: raw PII in non-PII contexts, confidential data classification markers, disallowed URLs, known malicious patterns.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for routine filtering hits; HIGH if PII or confidential data was about to leave the boundary; CRITICAL if successful leakage is detected after the fact.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opened by B04. Slack notification to security channel. Filtered output replaced with safe placeholder at the MCP interceptor layer.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reviews the filtered output and the original payload (with redaction per pilot mode). Determines category of hit.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confidential data leakage attempted: escalate to Sponsor and invoke data protection incident workflow. If routine PII hit: log and monitor.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recurring pattern from same agent or context: coordinate with agent owner for corrective training or prompt engineering.</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Output replaced with placeholder before reaching consumer. Agent notified via response that output was filtered.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Trace backward from the filtered output to the agent prompt and upstream data source. Determine whether the agent was trying to exfiltrate or whether the filtered content was legitimate but mis-classified.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Tune B04 filter rules if false positive. Block agent or upstream source if intentional exfiltration. Update DLP baseline if new category of sensitive data is identified.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Filter hit rate trend, false positive ratio, any confirmed leakage,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confirmed data leakage. Filter tuning applied where needed. False positive rate under 3%.</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B05 — Output PII Scrubbing</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Removes or tokenizes PII from agent outputs before they reach downstream consumers or the EGA ledger.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B05 emits ALLOW_WITH_RESTRICTIONS when PII is detected and successfully scrubbed. Emits DENY_WITH_INCIDENT if PII is detected but scrubbing fails.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LOW for routine scrubbing (expected behavior); HIGH if scrubbing fails; CRITICAL if PII is confirmed to have bypassed scrubbing.</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scrubbing fails: HIC ticket, Slack alert, and immediate envelope denial.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investigates scrub failure. Checks whether the failure is a code bug, a resource exhaustion, or a novel PII pattern.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code bug: roll back to previous ATK version. If resource exhaustion: investigate capacity. If novel pattern: update B05 detector.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unresolved: Sponsor and Technical Lead briefed. Decide whether to enter degraded mode (all envelopes with output &gt;1KB → DENY_WITH_INCIDENT until resolved).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Failed-scrub envelopes are denied. Successfully scrubbed envelopes proceed normally. No automated containment beyond the deny.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Check EGA for scrub failure entries. Identify pattern in failing inputs. Correlate with ATK version and BBR client state.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scrubber code or rules. Deploy hotfix. Re-enable normal mode after validation.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Failure count, affected envelope ratio, whether any PII leaked during the failure window, duration of degraded mode.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Scrub failure rate returns to zero. No confirmed PII leakage. Hotfix validated in CI.</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B06 — Cross-Agent Coordination</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Governs inter-agent communication and coordination, enforcing boundary constraints and preventing unauthorized delegation chains.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B06 emits DENY when an agent attempts a cross-agent call that violates its boundary constraints: calling an agent in a different tenant, calling an agent at higher autonomy, or violating a declared coordination graph.</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for boundary violations; HIGH if the violation appears to be probing of the multi-agent isolation model; CRITICAL if successful unauthorized coordination is detected.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opened. Slack alert. Offending envelope denied.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identifies the caller and callee agents, their tenants, and autonomy levels.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cross-tenant: escalate immediately to Sponsor and Technical Lead. If cross-autonomy: verify whether the intended delegation is supposed to be permitted and B06 is mis-configured.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pattern is systematic: review B06 configuration and the coordination graph for the affected agents.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Coordination call denied in real time. If repeat violations from same agent: autonomy demotion via AUT.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Review coordination graph for the caller agent. Check BBR for baseline deviation. Cross-reference with B03 in case the coordination is being driven by prompt injection.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Update coordination graph if legitimate change required. Block caller credential if unauthorized. Retrain or reconfigure agent if the coordination attempt was due to design flaw.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Attempted coordination path, blocked effectiveness, any successful unauthorized coordination, governance review of the multi-agent design.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Boundary violations cease. Coordination graph accurately reflects intended design. No confirmed bypass.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B07 — Autonomy Gates</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autonomy-level ceilings and promotion/demotion gates for each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B07 emits DENY when an agent attempts an operation above its current autonomy level. Also emits ALLOW_WITH_MONITORING during the shadow phase of an autonomy promotion.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LOW for routine autonomy ceiling enforcement; MEDIUM if promotion gates are being attempted without proper authorization; HIGH if systematic autonomy probing is detected.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for promotion attempts; SRE for routine ceiling denials.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Routine denials: log only. Promotion attempts: HIC ticket.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reviews promotion request legitimacy.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coordinate with AUT service for proper promotion workflow. If illegitimate: flag agent credential.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pattern suggests autonomy escalation attack: investigate with full incident workflow.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Operations above ceiling denied automatically. No additional containment for routine cases.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Check AUT service for the agent promotion history. Cross-reference with B06 (coordination) and B14 (identity) for related signals.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Execute proper promotion workflow if legitimate. Suspend credential if attack.</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Denial count, any confirmed bypass, governance review of autonomy model.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Autonomy denials reflect legitimate ceiling enforcement. No confirmed bypass.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B08 — Resource Quotas</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per-agent quotas on compute, memory, token budget, and downstream API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B08 emits DENY with QUOTA_EXCEEDED reason when an agent exhausts its configured budget for a resource type.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LOW for routine quota exhaustion; MEDIUM for sustained breaches; HIGH if quota evasion is suspected.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Quota breach alert to SRE.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SRE determines whether the exhaustion is legitimate workload growth or anomalous behavior.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growth: coordinate quota adjustment with Sponsor. If anomalous: Security Officer informed.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quota adjustment approved: deploy updated configuration. If anomalous behavior confirmed: demote or suspend agent.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B08 denies over-quota operations automatically. Agent can still perform operations below quota.</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Review resource utilization dashboards. Check BBR for baseline deviation. Verify agent workload against expected pattern.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Adjust quota or suspend agent as appropriate.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Quota trend analysis, whether current quotas reflect real workload needs,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Quota breaches reflect legitimate enforcement. No bypass.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B09 — Tool Safety</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Governs which tools (MCP servers, APIs, external actions) each agent is permitted to invoke.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B09 emits DENY when an agent attempts to invoke a tool not in its permitted tool list.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by default; HIGH if the attempted tool is in a sensitive category (file system, network egress, privileged operations).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Alert to Security Officer. HIC ticket if the tool is in a sensitive category.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reviews the attempted tool invocation context.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tool need: coordinate with agent owner to expand permitted tool list. If unauthorized attempt: flag agent.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unauthorized pattern: suspend credential, investigate whether prompt injection or misconfiguration drove the attempt.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Tool invocation denied. No further containment unless pattern emerges.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Correlate with B03 (prompt injection), B06 (coordination). Review agent prompt history.</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Update tool permissions or suspend agent.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Tool invocation attempts, whether the agent's tool list accurately reflects its intended capabilities.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Tool denials reflect policy correctly. No confirmed bypass.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B10 — Financial Transaction Integrity</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integrity constraints on financial transactions initiated by agents: amount ceilings, beneficiary allowlists, dual-control for high-value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B10 emits DENY or REQUIRE_HUMAN_APPROVAL depending on the transaction type and amount. HIGH_VALUE transactions always require human approval via HIC.</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for routine ceiling enforcement; HIGH for high-value denials; CRITICAL for confirmed integrity breaches.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and Business Stakeholder (financial domain).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Slack alert to financial operations channel.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Business Stakeholder reviews transaction intent.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approve via HIC workflow. If illegitimate: deny and investigate.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confirmed integrity breach: escalate to CFO and external financial compliance team.</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Transactions denied or held for human approval. No automated execution of flagged transactions.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Full transaction history review. Cross-reference with B11 (data residency) and B13 (PII) for context. Check BBR for agent behavioral deviation.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Reverse unauthorized transactions if possible. Update B10 rules. Coordinate with financial compliance for regulatory reporting.</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Transaction volume affected, recovery actions, regulatory reporting, post-incident controls.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flagged transactions resolved. No confirmed integrity breach. Regulatory reporting completed.</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B11 — Data Residency</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that agent operations access data only in authorized regions per the pilot data residency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B11 emits DENY when an agent operation attempts to access data in an unauthorized region.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HIGH by default (data residency is a regulatory hard constraint).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Slack alert to compliance channel.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identifies the attempted region and the data resource.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Compliance team informed. Sponsor briefed if cross-border data transfer attempted.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confirmed bypass: invoke regulatory incident workflow. For Brasil pilot: LGPD incident reporting procedure.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Access denied. If agent has repeat violations: suspend credential and investigate for upstream cause.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Trace data access request to its source. Check whether the upstream service accidentally returned data from a wrong region.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upstream routing. Update B11 configuration if the residency map is incorrect. Regulatory reporting if required.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Access pattern analysis, regulatory implications, corrective actions, whether the residency configuration matches the intended design.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unauthorized cross-region access. Regulatory reporting completed if required.</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B12 — Port Logistics</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Domain-specific enforcement for port logistics pilots (PORT-MAS @ SPRBUN, ARHIA HFL): vessel-agent correlation, geofence validation, gate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B12 emits DENY when an operation violates port logistics constraints: operation outside terminal geofence, vessel not in expected berth, gate operation without corresponding container movement authorization.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HIGH by default (port ops are safety-critical).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SRE and Port Operations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Alert to port operations channel. HIC ticket. Operation denied.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Port Operations Officer validates the physical state against the denied operation.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legitimate but data lag: coordinate with upstream data sources. If unauthorized: Security Officer engaged.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safety-critical: port operations incident workflow.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Operation denied. If repeat: suspend agent and coordinate with port operations.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Cross-reference with AIS data feed, vessel schedule, container movement logs. Check BBR for agent behavioral baseline.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Update geofence or correlation data if upstream changed. Coordinate with physical operations if discrepancy persists.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Safety analysis, discrepancy between digital and physical state,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safety incidents. Denials reflect real constraints.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B13 — PII and LGPD Detection</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Detects PII in agent payloads with strict mode for Brasil fintech: CPF, CNPJ, card PAN, full Brazilian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B13 emits DENY_WITH_INCIDENT in STRICT mode when PII is detected in any non-tokenized field.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HIGH for detection; CRITICAL for confirmed LGPD breach.</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Data Protection Officer (DPO) for Brasil pilot; Security Officer otherwise.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Slack alert to DPO channel. Envelope denied.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DPO reviews the flagged field and determines whether the detection is true positive.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true positive: investigate upstream source. If false positive: tune B13 detectors.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confirmed LGPD-scope breach: invoke LGPD 72-hour notification workflow.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Envelope denied. PII never reaches EGA in raw form (ZDE mode).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Trace backward to the upstream source of the PII. Verify whether other envelopes from the same source are also affected.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upstream tokenization. Update B13 rules. LGPD reporting if required.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Breach scope, affected subjects, notification status, corrective actions, whether ZDE mode prevented actual exposure.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confirmed LGPD breach. Upstream sources fixed. DPO sign-off obtained.</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B14 — AIM Identity</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Validates that every envelope carries a valid AIM credential for the acting agent: signature valid, not expired, not revoked, not suspended.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B14 emits DENY when credential validation fails. Reasons: UNKNOWN_AGENT, CREDENTIAL_EXPIRED, CREDENTIAL_SUSPENDED, SIGNATURE_INVALID.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HIGH by default (identity is foundational).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Slack alert. Envelope denied.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identifies the reason code and investigates.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AIM service outage: escalate to SRE for AIM client recovery. If credential issue: coordinate with agent owner.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signature forgery suspected: invoke cryptographic incident workflow.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Envelope denied. If forgery: revoke related credentials.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Verify AIM service health. Check credential chain of custody. Correlate with other denied envelopes.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Reissue credential if legitimate. Revoke and investigate if forgery. Fix AIM service if outage.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Identity integrity analysis, any confirmed forgery,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Identity validation integrity maintained. No confirmed forgery.</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B16 — AIM Permissions</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Runtime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that the operation requested in the envelope is within the permitted operation set for the agent credential.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B16 emits DENY when the operation is not in permittedOperations, when scope is exceeded, or when inter-agent boundary is violated.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for routine enforcement; HIGH for boundary violations; CRITICAL for privilege escalation attempts.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for high/critical severity. Log only for routine.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reviews the attempted operation.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boundary violation: follow B06 runbook in parallel. If escalation attempt: follow B07 runbook in parallel.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coordinated pattern across B06/B07/B16: full multi-bundle incident response.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Operation denied. Parallel bundle runbooks may apply additional containment.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Review permission graph for the agent. Check whether the permission set matches the intended design.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Update permissions or suspend credential.</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Permission boundary analysis, cross-bundle correlation,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Permission enforcement reflects policy. No confirmed escalation.</w:t>
            </w:r>
          </w:p>
        </w:tc>
      </w:tr>
    </w:tbl>
    <w:p>
      <w:pPr>
        <w:spacing w:after="120"/>
      </w:pPr>
      <w:r>
        <w:rPr>
          <w:rFonts w:ascii="Calibri" w:cs="Calibri" w:eastAsia="Calibri" w:hAnsi="Calibri"/>
        </w:rPr>
        <w:t xml:space="preserve"> </w:t>
      </w:r>
    </w:p>
    <w:p>
      <w:r>
        <w:br w:type="page"/>
      </w:r>
    </w:p>
    <w:p>
      <w:pPr>
        <w:pStyle w:val="Heading2"/>
        <w:spacing w:after="140" w:before="280"/>
      </w:pPr>
      <w:r>
        <w:rPr>
          <w:rFonts w:ascii="Calibri" w:cs="Calibri" w:eastAsia="Calibri" w:hAnsi="Calibri"/>
          <w:b/>
          <w:bCs/>
          <w:color w:val="2E75B6"/>
          <w:sz w:val="26"/>
          <w:szCs w:val="26"/>
        </w:rPr>
        <w:t xml:space="preserve">Lifecycle family</w:t>
      </w:r>
    </w:p>
    <w:p>
      <w:pPr>
        <w:spacing w:after="140" w:line="300"/>
        <w:jc w:val="both"/>
      </w:pPr>
      <w:r>
        <w:rPr>
          <w:rFonts w:ascii="Calibri" w:cs="Calibri" w:eastAsia="Calibri" w:hAnsi="Calibri"/>
          <w:color w:val="262626"/>
          <w:sz w:val="22"/>
          <w:szCs w:val="22"/>
        </w:rPr>
        <w:t xml:space="preserve">The lifecycle family (B15) governs agent lifecycle transitions: registration, activation, deprecation, and retirement.</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B15 — Agent Lifecycle</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Lifecycle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Governs agent lifecycle transitions: registration, activation, deprecation, retirement. Enforces valid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B15 emits DENY when a lifecycle transition is invalid: deprecated agent attempts active operations, retired agent attempts any operation, activation attempted without qualification.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MEDIUM for routine lifecycle enforcement; HIGH if retired agents are being used (possible credential theft or state management bug).</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if retired or deprecated. Log only for routine.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investigates the lifecycle state.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retired agent active: assume credential compromise and revoke all related credentials.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pattern: investigate AIM state management.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Operations denied for invalid lifecycle states. Credential revocation if compromise suspected.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Review agent lifecycle history. Check for state drift between AIM and ATK.</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Reconcile lifecycle state. Update lifecycle transition rules if needed.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Lifecycle integrity analysis, corrective actions.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Lifecycle state consistent across services. No confirmed compromise.</w:t>
            </w:r>
          </w:p>
        </w:tc>
      </w:tr>
    </w:tbl>
    <w:p>
      <w:pPr>
        <w:spacing w:after="120"/>
      </w:pPr>
      <w:r>
        <w:rPr>
          <w:rFonts w:ascii="Calibri" w:cs="Calibri" w:eastAsia="Calibri" w:hAnsi="Calibri"/>
        </w:rPr>
        <w:t xml:space="preserve"> </w:t>
      </w:r>
    </w:p>
    <w:p>
      <w:r>
        <w:br w:type="page"/>
      </w:r>
    </w:p>
    <w:p>
      <w:pPr>
        <w:pStyle w:val="Heading2"/>
        <w:spacing w:after="140" w:before="280"/>
      </w:pPr>
      <w:r>
        <w:rPr>
          <w:rFonts w:ascii="Calibri" w:cs="Calibri" w:eastAsia="Calibri" w:hAnsi="Calibri"/>
          <w:b/>
          <w:bCs/>
          <w:color w:val="2E75B6"/>
          <w:sz w:val="26"/>
          <w:szCs w:val="26"/>
        </w:rPr>
        <w:t xml:space="preserve">Governance family</w:t>
      </w:r>
    </w:p>
    <w:p>
      <w:pPr>
        <w:spacing w:after="140" w:line="300"/>
        <w:jc w:val="both"/>
      </w:pPr>
      <w:r>
        <w:rPr>
          <w:rFonts w:ascii="Calibri" w:cs="Calibri" w:eastAsia="Calibri" w:hAnsi="Calibri"/>
          <w:color w:val="262626"/>
          <w:sz w:val="22"/>
          <w:szCs w:val="22"/>
        </w:rPr>
        <w:t xml:space="preserve">The governance family (B17–B19) governs meta-properties of the ATK service itself: audit trail integrity, incident response coordination, and change management.</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B17 — Audit Trail Completeness</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Governance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Verifies that every envelope produces a complete audit trail in EGA: start, identity, policy, outcome, end entries with valid chain of custody.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B17 emits DENY_WITH_INCIDENT if audit trail generation fails for an envelope. This is a meta-bundle that monitors the integrity of ATK's own evidence production.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CRITICAL by default (audit trail gap is an integrity breach).</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and Auditor.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ticket. Sponsor paged. All HIC channels notified.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Auditor begins trail integrity investigation.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EGA outage: follow SRE recovery procedures. If ATK bug: roll back ATK service to previous version.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Full integrity sweep of EGA ledger for the affected time window.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Affected envelopes denied. Service may enter degraded mode until trail integrity is restored.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Reconcile ATK envelope counter with EGA entry counter. Verify chain of custody across the gap. Identify every envelope with missing evidence.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ATK or EGA as needed. Backfill missing evidence where possible. If not possible: document the gap for audit and regulatory notification.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Integrity gap magnitude, affected envelope count, recovery actions, regulatory implications, lessons for evidence architecture.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 trail integrity restored. Gap documented. Auditor sign-off obtained.</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B18 — Incident Response</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Governance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Meta-bundle that coordinates incident response actions across other bundles: opens HIC tickets, triggers quarantines, and records incident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B18 is invoked by other bundles when they raise an incident. Does not emit DENY/ALLOW on its own but enforces that incidents are properly tracked.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Inherited from the triggering bundle.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On-call Security Officer.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incidents tracked via B18 automatically create HIC tickets.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ensures that incident metadata is complete.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If B18 fails to open HIC ticket: escalate as B17-style integrity incident.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Verify all open incidents have assigned responders.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B18 does not contain directly; it coordinates containment by other bundles.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Verify incident lifecycle completeness: open, investigated, remediated, post-mortem, closed.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any incident lifecycle gaps. Update B18 configuration if needed.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Meta-analysis of incident response effectiveness across the pilot window.</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incidents have complete lifecycle records. No dropped incidents.</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B19 — Change Management</w:t>
      </w:r>
    </w:p>
    <w:p>
      <w:pPr>
        <w:spacing w:after="80"/>
      </w:pPr>
      <w:r>
        <w:rPr>
          <w:rFonts w:ascii="Calibri" w:cs="Calibri" w:eastAsia="Calibri" w:hAnsi="Calibri"/>
          <w:b/>
          <w:bCs/>
          <w:color w:val="1F3864"/>
          <w:sz w:val="20"/>
          <w:szCs w:val="20"/>
        </w:rPr>
        <w:t xml:space="preserve">Family: </w:t>
      </w:r>
      <w:r>
        <w:rPr>
          <w:rFonts w:ascii="Calibri" w:cs="Calibri" w:eastAsia="Calibri" w:hAnsi="Calibri"/>
          <w:color w:val="262626"/>
          <w:sz w:val="20"/>
          <w:szCs w:val="20"/>
        </w:rPr>
        <w:t xml:space="preserve">Governance</w:t>
      </w:r>
    </w:p>
    <w:p>
      <w:pPr>
        <w:spacing w:after="120"/>
      </w:pPr>
      <w:r>
        <w:rPr>
          <w:rFonts w:ascii="Calibri" w:cs="Calibri" w:eastAsia="Calibri" w:hAnsi="Calibri"/>
          <w:b/>
          <w:bCs/>
          <w:color w:val="1F3864"/>
          <w:sz w:val="20"/>
          <w:szCs w:val="20"/>
        </w:rPr>
        <w:t xml:space="preserve">Purpose: </w:t>
      </w:r>
      <w:r>
        <w:rPr>
          <w:rFonts w:ascii="Calibri" w:cs="Calibri" w:eastAsia="Calibri" w:hAnsi="Calibri"/>
          <w:color w:val="262626"/>
          <w:sz w:val="20"/>
          <w:szCs w:val="20"/>
        </w:rPr>
        <w:t xml:space="preserve">Enforces that policy and bundle changes go through proper change management: approval, versioning,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Trigger condition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B19 emits DENY when an unauthorized policy or bundle change is detected at runtime (e.g., bundle hash mismatch, unapproved rule update).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Severity</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CRITICAL by default (unauthorized policy change is a governance integrity breach).</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First responder</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and Sponsor.</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T+0  (detection)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Sponsor paged. All HIC channels notified. Service may enter read-only mode.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T+5 min (triage)</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Auditor begins change management investigation.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T+15 min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Identify the source of the unauthorized change. Check CI/CD pipeline logs and change approval records.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T+1 h  (deep escalation)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Full review of policy integrity. Rollback to last known good policy version.</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Containment</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Service rolled back to last approved configuration. Unauthorized change reverted. Offending commit or deployment action blocked.</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Investigation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Trace the unauthorized change to its source: direct commit, pipeline bypass, or credential compromise. Determine scope of impact.</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Remediation</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Fix the change management process gap. Strengthen approval gates. Revoke any compromised credentials.</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Post-mortem</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Change integrity analysis, process gap identification, corrective actions, lessons for governance.</w:t>
            </w:r>
          </w:p>
        </w:tc>
      </w:tr>
      <w:tr>
        <w:tc>
          <w:tcPr>
            <w:tcW w:type="dxa" w:w="25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Success criteria</w:t>
            </w:r>
          </w:p>
        </w:tc>
        <w:tc>
          <w:tcPr>
            <w:tcW w:type="dxa" w:w="73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Policy integrity restored. Change management process hardened. No residual unauthorized changes.</w:t>
            </w:r>
          </w:p>
        </w:tc>
      </w:tr>
    </w:tbl>
    <w:p>
      <w:pPr>
        <w:spacing w:after="120"/>
      </w:pPr>
      <w:r>
        <w:rPr>
          <w:rFonts w:ascii="Calibri" w:cs="Calibri" w:eastAsia="Calibri" w:hAnsi="Calibri"/>
        </w:rPr>
        <w:t xml:space="preserve"> </w:t>
      </w:r>
    </w:p>
    <w:p>
      <w:r>
        <w:br w:type="page"/>
      </w:r>
    </w:p>
    <w:p>
      <w:pPr>
        <w:pStyle w:val="Heading1"/>
        <w:spacing w:after="180" w:before="360"/>
      </w:pPr>
      <w:r>
        <w:rPr>
          <w:rFonts w:ascii="Calibri" w:cs="Calibri" w:eastAsia="Calibri" w:hAnsi="Calibri"/>
          <w:b/>
          <w:bCs/>
          <w:color w:val="1F3864"/>
          <w:sz w:val="32"/>
          <w:szCs w:val="32"/>
        </w:rPr>
        <w:t xml:space="preserve">3. Cross-Bundle Incident Coordination</w:t>
      </w:r>
    </w:p>
    <w:p>
      <w:pPr>
        <w:spacing w:after="140" w:line="300"/>
        <w:jc w:val="both"/>
      </w:pPr>
      <w:r>
        <w:rPr>
          <w:rFonts w:ascii="Calibri" w:cs="Calibri" w:eastAsia="Calibri" w:hAnsi="Calibri"/>
          <w:color w:val="262626"/>
          <w:sz w:val="22"/>
          <w:szCs w:val="22"/>
        </w:rPr>
        <w:t xml:space="preserve">Some incidents trigger multiple bundles simultaneously. When that happens, the responder must follow all applicable runbooks in parallel and must coordinate the responses to avoid duplicated actions or conflicting remediation.</w:t>
      </w:r>
    </w:p>
    <w:p>
      <w:pPr>
        <w:pStyle w:val="Heading2"/>
        <w:spacing w:after="140" w:before="280"/>
      </w:pPr>
      <w:r>
        <w:rPr>
          <w:rFonts w:ascii="Calibri" w:cs="Calibri" w:eastAsia="Calibri" w:hAnsi="Calibri"/>
          <w:b/>
          <w:bCs/>
          <w:color w:val="2E75B6"/>
          <w:sz w:val="26"/>
          <w:szCs w:val="26"/>
        </w:rPr>
        <w:t xml:space="preserve">3.1. Common multi-bundle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Pattern</w:t>
            </w:r>
          </w:p>
        </w:tc>
        <w:tc>
          <w:tcPr>
            <w:tcW w:type="dxa" w:w="30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Bundles typically involved</w:t>
            </w:r>
          </w:p>
        </w:tc>
        <w:tc>
          <w:tcPr>
            <w:tcW w:type="dxa" w:w="43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Coordinated response</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Prompt injection with data exfiltration attempt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B03 + B04 + B05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is primary responder for all three. B03 provides the detection, B04/B05 provide containment. Investigation focuses on whether output filtering was effective.</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Autonomy escalation attack</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B06 + B07 + B14 + B16</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coordinates. Verify whether credential compromise (B14) enabled the escalation (B07) through coordination manipulation (B06) and permission boundary crossing (B16).</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Data leakage with residency violation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B04 + B05 + B11 + B13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and DPO (if Brasil). LGPD notification workflow if confirmed. Cross-reference filter hits, PII detection, and residency enforcement.</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Governance integrity breach</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B17 + B18 + B19</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Auditor, Security Officer, and Sponsor. Full incident workflow. Service may enter read-only mode. Policy rollback to last known good version.</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Financial transaction with identity compromise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B10 + B14 + B16</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Security Officer and Business Stakeholder (financial). Dual-control review. Transaction reversal if possible.</w:t>
            </w:r>
          </w:p>
        </w:tc>
      </w:tr>
    </w:tbl>
    <w:p>
      <w:pPr>
        <w:pStyle w:val="Heading2"/>
        <w:spacing w:after="140" w:before="280"/>
      </w:pPr>
      <w:r>
        <w:rPr>
          <w:rFonts w:ascii="Calibri" w:cs="Calibri" w:eastAsia="Calibri" w:hAnsi="Calibri"/>
          <w:b/>
          <w:bCs/>
          <w:color w:val="2E75B6"/>
          <w:sz w:val="26"/>
          <w:szCs w:val="26"/>
        </w:rPr>
        <w:t xml:space="preserve">3.2. Coordination principles</w:t>
      </w:r>
    </w:p>
    <w:p>
      <w:pPr>
        <w:pStyle w:val="ListParagraph"/>
        <w:numPr>
          <w:ilvl w:val="0"/>
          <w:numId w:val="1"/>
        </w:numPr>
        <w:spacing w:after="80"/>
      </w:pPr>
      <w:r>
        <w:rPr>
          <w:rFonts w:ascii="Calibri" w:cs="Calibri" w:eastAsia="Calibri" w:hAnsi="Calibri"/>
          <w:color w:val="262626"/>
          <w:sz w:val="22"/>
          <w:szCs w:val="22"/>
        </w:rPr>
        <w:t xml:space="preserve">Single incident commander: when multiple bundles trigger, the responder with the highest-severity bundle becomes the incident commander for the combined incident.</w:t>
      </w:r>
    </w:p>
    <w:p>
      <w:pPr>
        <w:pStyle w:val="ListParagraph"/>
        <w:numPr>
          <w:ilvl w:val="0"/>
          <w:numId w:val="1"/>
        </w:numPr>
        <w:spacing w:after="80"/>
      </w:pPr>
      <w:r>
        <w:rPr>
          <w:rFonts w:ascii="Calibri" w:cs="Calibri" w:eastAsia="Calibri" w:hAnsi="Calibri"/>
          <w:color w:val="262626"/>
          <w:sz w:val="22"/>
          <w:szCs w:val="22"/>
        </w:rPr>
        <w:t xml:space="preserve">Shared timeline: all parallel runbook executions share a single timeline in the incident channel to prevent duplicate actions.</w:t>
      </w:r>
    </w:p>
    <w:p>
      <w:pPr>
        <w:pStyle w:val="ListParagraph"/>
        <w:numPr>
          <w:ilvl w:val="0"/>
          <w:numId w:val="1"/>
        </w:numPr>
        <w:spacing w:after="80"/>
      </w:pPr>
      <w:r>
        <w:rPr>
          <w:rFonts w:ascii="Calibri" w:cs="Calibri" w:eastAsia="Calibri" w:hAnsi="Calibri"/>
          <w:color w:val="262626"/>
          <w:sz w:val="22"/>
          <w:szCs w:val="22"/>
        </w:rPr>
        <w:t xml:space="preserve">Evidence consolidation: post-mortem combines findings from all triggered bundles into a single document.</w:t>
      </w:r>
    </w:p>
    <w:p>
      <w:pPr>
        <w:pStyle w:val="ListParagraph"/>
        <w:numPr>
          <w:ilvl w:val="0"/>
          <w:numId w:val="1"/>
        </w:numPr>
        <w:spacing w:after="80"/>
      </w:pPr>
      <w:r>
        <w:rPr>
          <w:rFonts w:ascii="Calibri" w:cs="Calibri" w:eastAsia="Calibri" w:hAnsi="Calibri"/>
          <w:color w:val="262626"/>
          <w:sz w:val="22"/>
          <w:szCs w:val="22"/>
        </w:rPr>
        <w:t xml:space="preserve">Remediation ordering: remediate the most foundational bundle first. Identity (B14) before permissions (B16) before autonomy (B07) before coordination (B06). Output filtering (B04/B05) after source containment.</w:t>
      </w:r>
    </w:p>
    <w:p>
      <w:r>
        <w:br w:type="page"/>
      </w:r>
    </w:p>
    <w:p>
      <w:pPr>
        <w:pStyle w:val="Heading1"/>
        <w:spacing w:after="180" w:before="360"/>
      </w:pPr>
      <w:r>
        <w:rPr>
          <w:rFonts w:ascii="Calibri" w:cs="Calibri" w:eastAsia="Calibri" w:hAnsi="Calibri"/>
          <w:b/>
          <w:bCs/>
          <w:color w:val="1F3864"/>
          <w:sz w:val="32"/>
          <w:szCs w:val="32"/>
        </w:rPr>
        <w:t xml:space="preserve">4. Post-Mortem Template</w:t>
      </w:r>
    </w:p>
    <w:p>
      <w:pPr>
        <w:spacing w:after="140" w:line="300"/>
        <w:jc w:val="both"/>
      </w:pPr>
      <w:r>
        <w:rPr>
          <w:rFonts w:ascii="Calibri" w:cs="Calibri" w:eastAsia="Calibri" w:hAnsi="Calibri"/>
          <w:color w:val="262626"/>
          <w:sz w:val="22"/>
          <w:szCs w:val="22"/>
        </w:rPr>
        <w:t xml:space="preserve">Every incident classified as MEDIUM, HIGH, or CRITICAL produces a post-mortem. The template is uniform across all bundles to enable cross-incident analysis. Post-mortems are written within 5 business days of incident resolution and are reviewed by the Security Officer and the Auditor.</w:t>
      </w:r>
    </w:p>
    <w:p>
      <w:pPr>
        <w:pStyle w:val="Heading2"/>
        <w:spacing w:after="140" w:before="280"/>
      </w:pPr>
      <w:r>
        <w:rPr>
          <w:rFonts w:ascii="Calibri" w:cs="Calibri" w:eastAsia="Calibri" w:hAnsi="Calibri"/>
          <w:b/>
          <w:bCs/>
          <w:color w:val="2E75B6"/>
          <w:sz w:val="26"/>
          <w:szCs w:val="26"/>
        </w:rPr>
        <w:t xml:space="preserve">4.1. Required sections</w:t>
      </w:r>
    </w:p>
    <w:p>
      <w:pPr>
        <w:pStyle w:val="ListParagraph"/>
        <w:numPr>
          <w:ilvl w:val="0"/>
          <w:numId w:val="1"/>
        </w:numPr>
        <w:spacing w:after="80"/>
      </w:pPr>
      <w:r>
        <w:rPr>
          <w:rFonts w:ascii="Calibri" w:cs="Calibri" w:eastAsia="Calibri" w:hAnsi="Calibri"/>
          <w:color w:val="262626"/>
          <w:sz w:val="22"/>
          <w:szCs w:val="22"/>
        </w:rPr>
        <w:t xml:space="preserve">Incident identifier (INC-YYYY-NNN) and the HIC ticket ID.</w:t>
      </w:r>
    </w:p>
    <w:p>
      <w:pPr>
        <w:pStyle w:val="ListParagraph"/>
        <w:numPr>
          <w:ilvl w:val="0"/>
          <w:numId w:val="1"/>
        </w:numPr>
        <w:spacing w:after="80"/>
      </w:pPr>
      <w:r>
        <w:rPr>
          <w:rFonts w:ascii="Calibri" w:cs="Calibri" w:eastAsia="Calibri" w:hAnsi="Calibri"/>
          <w:color w:val="262626"/>
          <w:sz w:val="22"/>
          <w:szCs w:val="22"/>
        </w:rPr>
        <w:t xml:space="preserve">Detection timestamp and detection source (which bundle, which metric, which human observation).</w:t>
      </w:r>
    </w:p>
    <w:p>
      <w:pPr>
        <w:pStyle w:val="ListParagraph"/>
        <w:numPr>
          <w:ilvl w:val="0"/>
          <w:numId w:val="1"/>
        </w:numPr>
        <w:spacing w:after="80"/>
      </w:pPr>
      <w:r>
        <w:rPr>
          <w:rFonts w:ascii="Calibri" w:cs="Calibri" w:eastAsia="Calibri" w:hAnsi="Calibri"/>
          <w:color w:val="262626"/>
          <w:sz w:val="22"/>
          <w:szCs w:val="22"/>
        </w:rPr>
        <w:t xml:space="preserve">Severity classification and any reclassifications during the incident.</w:t>
      </w:r>
    </w:p>
    <w:p>
      <w:pPr>
        <w:pStyle w:val="ListParagraph"/>
        <w:numPr>
          <w:ilvl w:val="0"/>
          <w:numId w:val="1"/>
        </w:numPr>
        <w:spacing w:after="80"/>
      </w:pPr>
      <w:r>
        <w:rPr>
          <w:rFonts w:ascii="Calibri" w:cs="Calibri" w:eastAsia="Calibri" w:hAnsi="Calibri"/>
          <w:color w:val="262626"/>
          <w:sz w:val="22"/>
          <w:szCs w:val="22"/>
        </w:rPr>
        <w:t xml:space="preserve">Timeline with timestamped entries for every significant action.</w:t>
      </w:r>
    </w:p>
    <w:p>
      <w:pPr>
        <w:pStyle w:val="ListParagraph"/>
        <w:numPr>
          <w:ilvl w:val="0"/>
          <w:numId w:val="1"/>
        </w:numPr>
        <w:spacing w:after="80"/>
      </w:pPr>
      <w:r>
        <w:rPr>
          <w:rFonts w:ascii="Calibri" w:cs="Calibri" w:eastAsia="Calibri" w:hAnsi="Calibri"/>
          <w:color w:val="262626"/>
          <w:sz w:val="22"/>
          <w:szCs w:val="22"/>
        </w:rPr>
        <w:t xml:space="preserve">Root cause analysis using the five-whys technique.</w:t>
      </w:r>
    </w:p>
    <w:p>
      <w:pPr>
        <w:pStyle w:val="ListParagraph"/>
        <w:numPr>
          <w:ilvl w:val="0"/>
          <w:numId w:val="1"/>
        </w:numPr>
        <w:spacing w:after="80"/>
      </w:pPr>
      <w:r>
        <w:rPr>
          <w:rFonts w:ascii="Calibri" w:cs="Calibri" w:eastAsia="Calibri" w:hAnsi="Calibri"/>
          <w:color w:val="262626"/>
          <w:sz w:val="22"/>
          <w:szCs w:val="22"/>
        </w:rPr>
        <w:t xml:space="preserve">Contributing factors that made the incident worse or harder to resolve.</w:t>
      </w:r>
    </w:p>
    <w:p>
      <w:pPr>
        <w:pStyle w:val="ListParagraph"/>
        <w:numPr>
          <w:ilvl w:val="0"/>
          <w:numId w:val="1"/>
        </w:numPr>
        <w:spacing w:after="80"/>
      </w:pPr>
      <w:r>
        <w:rPr>
          <w:rFonts w:ascii="Calibri" w:cs="Calibri" w:eastAsia="Calibri" w:hAnsi="Calibri"/>
          <w:color w:val="262626"/>
          <w:sz w:val="22"/>
          <w:szCs w:val="22"/>
        </w:rPr>
        <w:t xml:space="preserve">Impact assessment: envelopes affected, business operations affected, regulatory exposure, customer impact.</w:t>
      </w:r>
    </w:p>
    <w:p>
      <w:pPr>
        <w:pStyle w:val="ListParagraph"/>
        <w:numPr>
          <w:ilvl w:val="0"/>
          <w:numId w:val="1"/>
        </w:numPr>
        <w:spacing w:after="80"/>
      </w:pPr>
      <w:r>
        <w:rPr>
          <w:rFonts w:ascii="Calibri" w:cs="Calibri" w:eastAsia="Calibri" w:hAnsi="Calibri"/>
          <w:color w:val="262626"/>
          <w:sz w:val="22"/>
          <w:szCs w:val="22"/>
        </w:rPr>
        <w:t xml:space="preserve">Response effectiveness: what worked well, what did not.</w:t>
      </w:r>
    </w:p>
    <w:p>
      <w:pPr>
        <w:pStyle w:val="ListParagraph"/>
        <w:numPr>
          <w:ilvl w:val="0"/>
          <w:numId w:val="1"/>
        </w:numPr>
        <w:spacing w:after="80"/>
      </w:pPr>
      <w:r>
        <w:rPr>
          <w:rFonts w:ascii="Calibri" w:cs="Calibri" w:eastAsia="Calibri" w:hAnsi="Calibri"/>
          <w:color w:val="262626"/>
          <w:sz w:val="22"/>
          <w:szCs w:val="22"/>
        </w:rPr>
        <w:t xml:space="preserve">Corrective actions with owners and due dates.</w:t>
      </w:r>
    </w:p>
    <w:p>
      <w:pPr>
        <w:pStyle w:val="ListParagraph"/>
        <w:numPr>
          <w:ilvl w:val="0"/>
          <w:numId w:val="1"/>
        </w:numPr>
        <w:spacing w:after="80"/>
      </w:pPr>
      <w:r>
        <w:rPr>
          <w:rFonts w:ascii="Calibri" w:cs="Calibri" w:eastAsia="Calibri" w:hAnsi="Calibri"/>
          <w:color w:val="262626"/>
          <w:sz w:val="22"/>
          <w:szCs w:val="22"/>
        </w:rPr>
        <w:t xml:space="preserve">Preventive actions for similar future incidents.</w:t>
      </w:r>
    </w:p>
    <w:p>
      <w:pPr>
        <w:pStyle w:val="ListParagraph"/>
        <w:numPr>
          <w:ilvl w:val="0"/>
          <w:numId w:val="1"/>
        </w:numPr>
        <w:spacing w:after="80"/>
      </w:pPr>
      <w:r>
        <w:rPr>
          <w:rFonts w:ascii="Calibri" w:cs="Calibri" w:eastAsia="Calibri" w:hAnsi="Calibri"/>
          <w:color w:val="262626"/>
          <w:sz w:val="22"/>
          <w:szCs w:val="22"/>
        </w:rPr>
        <w:t xml:space="preserve">Whether the runbook in this document was adequate; if not, what changes are proposed.</w:t>
      </w:r>
    </w:p>
    <w:p>
      <w:pPr>
        <w:pStyle w:val="ListParagraph"/>
        <w:numPr>
          <w:ilvl w:val="0"/>
          <w:numId w:val="1"/>
        </w:numPr>
        <w:spacing w:after="80"/>
      </w:pPr>
      <w:r>
        <w:rPr>
          <w:rFonts w:ascii="Calibri" w:cs="Calibri" w:eastAsia="Calibri" w:hAnsi="Calibri"/>
          <w:color w:val="262626"/>
          <w:sz w:val="22"/>
          <w:szCs w:val="22"/>
        </w:rPr>
        <w:t xml:space="preserve">Auditor sign-off and Security Officer sign-off.</w:t>
      </w:r>
    </w:p>
    <w:p>
      <w:pPr>
        <w:pStyle w:val="Heading2"/>
        <w:spacing w:after="140" w:before="280"/>
      </w:pPr>
      <w:r>
        <w:rPr>
          <w:rFonts w:ascii="Calibri" w:cs="Calibri" w:eastAsia="Calibri" w:hAnsi="Calibri"/>
          <w:b/>
          <w:bCs/>
          <w:color w:val="2E75B6"/>
          <w:sz w:val="26"/>
          <w:szCs w:val="26"/>
        </w:rPr>
        <w:t xml:space="preserve">4.2. Five-whys template</w:t>
      </w:r>
    </w:p>
    <w:p>
      <w:pPr>
        <w:spacing w:after="140" w:line="300"/>
        <w:jc w:val="both"/>
      </w:pPr>
      <w:r>
        <w:rPr>
          <w:rFonts w:ascii="Calibri" w:cs="Calibri" w:eastAsia="Calibri" w:hAnsi="Calibri"/>
          <w:color w:val="262626"/>
          <w:sz w:val="22"/>
          <w:szCs w:val="22"/>
        </w:rPr>
        <w:t xml:space="preserve">The five-whys root cause analysis is standard. The template is:</w:t>
      </w:r>
    </w:p>
    <w:p>
      <w:pPr>
        <w:pStyle w:val="ListParagraph"/>
        <w:numPr>
          <w:ilvl w:val="0"/>
          <w:numId w:val="1"/>
        </w:numPr>
        <w:spacing w:after="80"/>
      </w:pPr>
      <w:r>
        <w:rPr>
          <w:rFonts w:ascii="Calibri" w:cs="Calibri" w:eastAsia="Calibri" w:hAnsi="Calibri"/>
          <w:color w:val="262626"/>
          <w:sz w:val="22"/>
          <w:szCs w:val="22"/>
        </w:rPr>
        <w:t xml:space="preserve">Why did [incident] happen? → [first cause]</w:t>
      </w:r>
    </w:p>
    <w:p>
      <w:pPr>
        <w:pStyle w:val="ListParagraph"/>
        <w:numPr>
          <w:ilvl w:val="0"/>
          <w:numId w:val="1"/>
        </w:numPr>
        <w:spacing w:after="80"/>
      </w:pPr>
      <w:r>
        <w:rPr>
          <w:rFonts w:ascii="Calibri" w:cs="Calibri" w:eastAsia="Calibri" w:hAnsi="Calibri"/>
          <w:color w:val="262626"/>
          <w:sz w:val="22"/>
          <w:szCs w:val="22"/>
        </w:rPr>
        <w:t xml:space="preserve">Why did [first cause] happen? → [second cause]</w:t>
      </w:r>
    </w:p>
    <w:p>
      <w:pPr>
        <w:pStyle w:val="ListParagraph"/>
        <w:numPr>
          <w:ilvl w:val="0"/>
          <w:numId w:val="1"/>
        </w:numPr>
        <w:spacing w:after="80"/>
      </w:pPr>
      <w:r>
        <w:rPr>
          <w:rFonts w:ascii="Calibri" w:cs="Calibri" w:eastAsia="Calibri" w:hAnsi="Calibri"/>
          <w:color w:val="262626"/>
          <w:sz w:val="22"/>
          <w:szCs w:val="22"/>
        </w:rPr>
        <w:t xml:space="preserve">Why did [second cause] happen? → [third cause]</w:t>
      </w:r>
    </w:p>
    <w:p>
      <w:pPr>
        <w:pStyle w:val="ListParagraph"/>
        <w:numPr>
          <w:ilvl w:val="0"/>
          <w:numId w:val="1"/>
        </w:numPr>
        <w:spacing w:after="80"/>
      </w:pPr>
      <w:r>
        <w:rPr>
          <w:rFonts w:ascii="Calibri" w:cs="Calibri" w:eastAsia="Calibri" w:hAnsi="Calibri"/>
          <w:color w:val="262626"/>
          <w:sz w:val="22"/>
          <w:szCs w:val="22"/>
        </w:rPr>
        <w:t xml:space="preserve">Why did [third cause] happen? → [fourth cause]</w:t>
      </w:r>
    </w:p>
    <w:p>
      <w:pPr>
        <w:pStyle w:val="ListParagraph"/>
        <w:numPr>
          <w:ilvl w:val="0"/>
          <w:numId w:val="1"/>
        </w:numPr>
        <w:spacing w:after="80"/>
      </w:pPr>
      <w:r>
        <w:rPr>
          <w:rFonts w:ascii="Calibri" w:cs="Calibri" w:eastAsia="Calibri" w:hAnsi="Calibri"/>
          <w:color w:val="262626"/>
          <w:sz w:val="22"/>
          <w:szCs w:val="22"/>
        </w:rPr>
        <w:t xml:space="preserve">Why did [fourth cause] happen? → [root cause]</w:t>
      </w:r>
    </w:p>
    <w:p>
      <w:pPr>
        <w:spacing w:after="140" w:line="300"/>
        <w:jc w:val="both"/>
      </w:pPr>
      <w:r>
        <w:rPr>
          <w:rFonts w:ascii="Calibri" w:cs="Calibri" w:eastAsia="Calibri" w:hAnsi="Calibri"/>
          <w:color w:val="262626"/>
          <w:sz w:val="22"/>
          <w:szCs w:val="22"/>
        </w:rPr>
        <w:t xml:space="preserve">The root cause is the condition that, if addressed, would have prevented the incident chain from starting. Corrective actions are aimed at the root cause, not at intermediate causes.</w:t>
      </w:r>
    </w:p>
    <w:p>
      <w:pPr>
        <w:pStyle w:val="Heading2"/>
        <w:spacing w:after="140" w:before="280"/>
      </w:pPr>
      <w:r>
        <w:rPr>
          <w:rFonts w:ascii="Calibri" w:cs="Calibri" w:eastAsia="Calibri" w:hAnsi="Calibri"/>
          <w:b/>
          <w:bCs/>
          <w:color w:val="2E75B6"/>
          <w:sz w:val="26"/>
          <w:szCs w:val="26"/>
        </w:rPr>
        <w:t xml:space="preserve">4.3. Example (illustrative)</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Illustrative only — not a real incident</w:t>
            </w:r>
          </w:p>
          <w:p>
            <w:r>
              <w:rPr>
                <w:rFonts w:ascii="Calibri" w:cs="Calibri" w:eastAsia="Calibri" w:hAnsi="Calibri"/>
                <w:color w:val="262626"/>
                <w:sz w:val="20"/>
                <w:szCs w:val="20"/>
              </w:rPr>
              <w:t xml:space="preserve">Why did B03 miss the injection? Because the signature was not in the database. Why was it not in the database? Because the threat intelligence feed is updated weekly and the novel pattern emerged two days before the feed update. Why is the feed weekly? Because that is the tier currently contracted with the vendor. Why is the tier weekly? Because at pilot start the volume was low and weekly was sufficient. Why is it no longer sufficient? Because the pilot scale has grown 3x since kickoff.  ROOT CAUSE: threat intelligence feed frequency does not scale with deployment size. CORRECTIVE ACTION: upgrade to daily feed before scale-up to production.</w:t>
            </w:r>
          </w:p>
        </w:tc>
      </w:tr>
    </w:tbl>
    <w:p>
      <w:r>
        <w:br w:type="page"/>
      </w:r>
    </w:p>
    <w:p>
      <w:pPr>
        <w:pStyle w:val="Heading1"/>
        <w:spacing w:after="180" w:before="360"/>
      </w:pPr>
      <w:r>
        <w:rPr>
          <w:rFonts w:ascii="Calibri" w:cs="Calibri" w:eastAsia="Calibri" w:hAnsi="Calibri"/>
          <w:b/>
          <w:bCs/>
          <w:color w:val="1F3864"/>
          <w:sz w:val="32"/>
          <w:szCs w:val="32"/>
        </w:rPr>
        <w:t xml:space="preserve">5. Runbook Maintenance</w:t>
      </w:r>
    </w:p>
    <w:p>
      <w:pPr>
        <w:spacing w:after="140" w:line="300"/>
        <w:jc w:val="both"/>
      </w:pPr>
      <w:r>
        <w:rPr>
          <w:rFonts w:ascii="Calibri" w:cs="Calibri" w:eastAsia="Calibri" w:hAnsi="Calibri"/>
          <w:color w:val="262626"/>
          <w:sz w:val="22"/>
          <w:szCs w:val="22"/>
        </w:rPr>
        <w:t xml:space="preserve">These runbooks are living documents. They are updated based on post-incident retrospectives, bundle updates, and changes to the pilot configuration. The maintenance cycle is as follows.</w:t>
      </w:r>
    </w:p>
    <w:p>
      <w:pPr>
        <w:pStyle w:val="Heading2"/>
        <w:spacing w:after="140" w:before="280"/>
      </w:pPr>
      <w:r>
        <w:rPr>
          <w:rFonts w:ascii="Calibri" w:cs="Calibri" w:eastAsia="Calibri" w:hAnsi="Calibri"/>
          <w:b/>
          <w:bCs/>
          <w:color w:val="2E75B6"/>
          <w:sz w:val="26"/>
          <w:szCs w:val="26"/>
        </w:rPr>
        <w:t xml:space="preserve">5.1. Review cadence</w:t>
      </w:r>
    </w:p>
    <w:p>
      <w:pPr>
        <w:pStyle w:val="ListParagraph"/>
        <w:numPr>
          <w:ilvl w:val="0"/>
          <w:numId w:val="1"/>
        </w:numPr>
        <w:spacing w:after="80"/>
      </w:pPr>
      <w:r>
        <w:rPr>
          <w:rFonts w:ascii="Calibri" w:cs="Calibri" w:eastAsia="Calibri" w:hAnsi="Calibri"/>
          <w:color w:val="262626"/>
          <w:sz w:val="22"/>
          <w:szCs w:val="22"/>
        </w:rPr>
        <w:t xml:space="preserve">Quarterly full review: all 19 runbooks are reviewed by the Security Officer and the Technical Lead. Changes in bundle behavior, new threat patterns, or feedback from incident response drive updates.</w:t>
      </w:r>
    </w:p>
    <w:p>
      <w:pPr>
        <w:pStyle w:val="ListParagraph"/>
        <w:numPr>
          <w:ilvl w:val="0"/>
          <w:numId w:val="1"/>
        </w:numPr>
        <w:spacing w:after="80"/>
      </w:pPr>
      <w:r>
        <w:rPr>
          <w:rFonts w:ascii="Calibri" w:cs="Calibri" w:eastAsia="Calibri" w:hAnsi="Calibri"/>
          <w:color w:val="262626"/>
          <w:sz w:val="22"/>
          <w:szCs w:val="22"/>
        </w:rPr>
        <w:t xml:space="preserve">Post-incident review: after every MEDIUM+ incident, the corresponding runbook is reviewed to ensure it reflects lessons learned.</w:t>
      </w:r>
    </w:p>
    <w:p>
      <w:pPr>
        <w:pStyle w:val="ListParagraph"/>
        <w:numPr>
          <w:ilvl w:val="0"/>
          <w:numId w:val="1"/>
        </w:numPr>
        <w:spacing w:after="80"/>
      </w:pPr>
      <w:r>
        <w:rPr>
          <w:rFonts w:ascii="Calibri" w:cs="Calibri" w:eastAsia="Calibri" w:hAnsi="Calibri"/>
          <w:color w:val="262626"/>
          <w:sz w:val="22"/>
          <w:szCs w:val="22"/>
        </w:rPr>
        <w:t xml:space="preserve">On bundle update: any change to a bundle (B01–B19) triggers a review of its runbook to ensure the trigger conditions and response steps are still accurate.</w:t>
      </w:r>
    </w:p>
    <w:p>
      <w:pPr>
        <w:pStyle w:val="ListParagraph"/>
        <w:numPr>
          <w:ilvl w:val="0"/>
          <w:numId w:val="1"/>
        </w:numPr>
        <w:spacing w:after="80"/>
      </w:pPr>
      <w:r>
        <w:rPr>
          <w:rFonts w:ascii="Calibri" w:cs="Calibri" w:eastAsia="Calibri" w:hAnsi="Calibri"/>
          <w:color w:val="262626"/>
          <w:sz w:val="22"/>
          <w:szCs w:val="22"/>
        </w:rPr>
        <w:t xml:space="preserve">On pilot addition: when a new pilot is added to ARHIAX, pilot-specific addenda are created if generic runbooks are insufficient.</w:t>
      </w:r>
    </w:p>
    <w:p>
      <w:pPr>
        <w:pStyle w:val="Heading2"/>
        <w:spacing w:after="140" w:before="280"/>
      </w:pPr>
      <w:r>
        <w:rPr>
          <w:rFonts w:ascii="Calibri" w:cs="Calibri" w:eastAsia="Calibri" w:hAnsi="Calibri"/>
          <w:b/>
          <w:bCs/>
          <w:color w:val="2E75B6"/>
          <w:sz w:val="26"/>
          <w:szCs w:val="26"/>
        </w:rPr>
        <w:t xml:space="preserve">5.2. Change management for this document</w:t>
      </w:r>
    </w:p>
    <w:p>
      <w:pPr>
        <w:spacing w:after="140" w:line="300"/>
        <w:jc w:val="both"/>
      </w:pPr>
      <w:r>
        <w:rPr>
          <w:rFonts w:ascii="Calibri" w:cs="Calibri" w:eastAsia="Calibri" w:hAnsi="Calibri"/>
          <w:color w:val="262626"/>
          <w:sz w:val="22"/>
          <w:szCs w:val="22"/>
        </w:rPr>
        <w:t xml:space="preserve">Changes to this document are themselves subject to the B19 change management bundle. Any runbook update follows the same approval workflow as an ARHIAX policy update: proposed by the Security Officer or Technical Lead, reviewed by the Auditor, approved by the Sponsor, and versioned in the document management system. The version history is maintained at the end of the document.</w:t>
      </w:r>
    </w:p>
    <w:p>
      <w:pPr>
        <w:pStyle w:val="Heading2"/>
        <w:spacing w:after="140" w:before="280"/>
      </w:pPr>
      <w:r>
        <w:rPr>
          <w:rFonts w:ascii="Calibri" w:cs="Calibri" w:eastAsia="Calibri" w:hAnsi="Calibri"/>
          <w:b/>
          <w:bCs/>
          <w:color w:val="2E75B6"/>
          <w:sz w:val="26"/>
          <w:szCs w:val="26"/>
        </w:rPr>
        <w:t xml:space="preserve">5.3. Next review date</w:t>
      </w:r>
    </w:p>
    <w:p>
      <w:pPr>
        <w:spacing w:after="140" w:line="300"/>
        <w:jc w:val="both"/>
      </w:pPr>
      <w:r>
        <w:rPr>
          <w:rFonts w:ascii="Calibri" w:cs="Calibri" w:eastAsia="Calibri" w:hAnsi="Calibri"/>
          <w:color w:val="262626"/>
          <w:sz w:val="22"/>
          <w:szCs w:val="22"/>
        </w:rPr>
        <w:t xml:space="preserve">This document, version 1.0 dated 2026-04-07, is due for its first quarterly review on 2026-07-07. Any changes prior to that date follow the post-incident or bundle-update triggers above.</w:t>
      </w:r>
    </w:p>
    <w:p>
      <w:pPr>
        <w:spacing w:after="120"/>
      </w:pPr>
      <w:r>
        <w:rPr>
          <w:rFonts w:ascii="Calibri" w:cs="Calibri" w:eastAsia="Calibri" w:hAnsi="Calibri"/>
        </w:rPr>
        <w:t xml:space="preserve"> </w:t>
      </w:r>
    </w:p>
    <w:p>
      <w:pPr>
        <w:spacing w:after="120"/>
      </w:pPr>
      <w:r>
        <w:rPr>
          <w:rFonts w:ascii="Calibri" w:cs="Calibri" w:eastAsia="Calibri" w:hAnsi="Calibri"/>
        </w:rPr>
        <w:t xml:space="preserve"> </w:t>
      </w:r>
    </w:p>
    <w:p>
      <w:pPr>
        <w:spacing w:after="200" w:before="400"/>
        <w:jc w:val="center"/>
      </w:pPr>
      <w:r>
        <w:rPr>
          <w:rFonts w:ascii="Calibri" w:cs="Calibri" w:eastAsia="Calibri" w:hAnsi="Calibri"/>
          <w:i/>
          <w:iCs/>
          <w:color w:val="595959"/>
          <w:sz w:val="20"/>
          <w:szCs w:val="20"/>
        </w:rPr>
        <w:t xml:space="preserve">— End of Runbooks —</w:t>
      </w:r>
    </w:p>
    <w:p>
      <w:pPr>
        <w:jc w:val="center"/>
      </w:pPr>
      <w:r>
        <w:rPr>
          <w:rFonts w:ascii="Calibri" w:cs="Calibri" w:eastAsia="Calibri" w:hAnsi="Calibri"/>
          <w:color w:val="595959"/>
          <w:sz w:val="18"/>
          <w:szCs w:val="18"/>
        </w:rPr>
        <w:t xml:space="preserve">ARHIAX v11.4 · Incident Response Runbooks · v1.0</w:t>
      </w:r>
    </w:p>
    <w:p>
      <w:pPr>
        <w:jc w:val="center"/>
      </w:pPr>
      <w:r>
        <w:rPr>
          <w:rFonts w:ascii="Calibri" w:cs="Calibri" w:eastAsia="Calibri" w:hAnsi="Calibri"/>
          <w:color w:val="595959"/>
          <w:sz w:val="18"/>
          <w:szCs w:val="18"/>
        </w:rPr>
        <w:t xml:space="preserve">Sinergia Consulting Group S.A.S.  ·  Barranquilla, Colombia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Sinergia Consulting Group S.A.S.  ·  Confidencial  ·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ARHIAX v11.4 — Incident Response Runbooks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3864"/>
      <w:sz w:val="32"/>
      <w:szCs w:val="32"/>
    </w:rPr>
  </w:style>
  <w:style w:type="paragraph" w:styleId="Heading2">
    <w:name w:val="Heading 2"/>
    <w:basedOn w:val="Normal"/>
    <w:next w:val="Normal"/>
    <w:pPr>
      <w:spacing w:after="140" w:before="280"/>
    </w:pPr>
    <w:rPr>
      <w:rFonts w:ascii="Calibri" w:cs="Calibri" w:eastAsia="Calibri" w:hAnsi="Calibri"/>
      <w:b/>
      <w:bCs/>
      <w:color w:val="2E75B6"/>
      <w:sz w:val="26"/>
      <w:szCs w:val="26"/>
    </w:rPr>
  </w:style>
  <w:style w:type="paragraph" w:styleId="Heading3">
    <w:name w:val="Heading 3"/>
    <w:basedOn w:val="Normal"/>
    <w:next w:val="Normal"/>
    <w:pPr>
      <w:spacing w:after="100" w:before="20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ARHIAX v11.4 Incident Response Runbooks</dc:title>
  <dc:creator>Sinergia Consulting Group S.A.S.</dc:creator>
  <dc:description>19 generic incident response runbooks, one per OPA bundle B01-B19</dc:description>
  <cp:lastModifiedBy>Un-named</cp:lastModifiedBy>
  <cp:revision>1</cp:revision>
  <dcterms:created xsi:type="dcterms:W3CDTF">2026-04-07T23:08:51.361Z</dcterms:created>
  <dcterms:modified xsi:type="dcterms:W3CDTF">2026-04-07T23:08:51.365Z</dcterms:modified>
</cp:coreProperties>
</file>

<file path=docProps/custom.xml><?xml version="1.0" encoding="utf-8"?>
<Properties xmlns="http://schemas.openxmlformats.org/officeDocument/2006/custom-properties" xmlns:vt="http://schemas.openxmlformats.org/officeDocument/2006/docPropsVTypes"/>
</file>