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HOJA DE RUTA</w:t>
      </w:r>
    </w:p>
    <w:p>
      <w:pPr>
        <w:jc w:val="center"/>
      </w:pPr>
      <w:r>
        <w:rPr>
          <w:rFonts w:ascii="Arial" w:cs="Arial" w:eastAsia="Arial" w:hAnsi="Arial"/>
          <w:color w:val="1B3A5C"/>
          <w:sz w:val="32"/>
          <w:szCs w:val="32"/>
        </w:rPr>
        <w:t xml:space="preserve">Posicionamiento de ARHIA como Implementación de Referencia</w:t>
      </w:r>
    </w:p>
    <w:p>
      <w:pPr>
        <w:spacing w:after="200"/>
        <w:jc w:val="center"/>
      </w:pPr>
      <w:r>
        <w:rPr>
          <w:rFonts w:ascii="Arial" w:cs="Arial" w:eastAsia="Arial" w:hAnsi="Arial"/>
          <w:color w:val="1B3A5C"/>
          <w:sz w:val="28"/>
          <w:szCs w:val="28"/>
        </w:rPr>
        <w:t xml:space="preserve">de CSA ATF + MAESTRO + OWASP ASI para Mercados Regulados</w:t>
      </w:r>
    </w:p>
    <w:p>
      <w:pPr>
        <w:spacing w:after="300"/>
        <w:jc w:val="center"/>
      </w:pPr>
      <w:r>
        <w:rPr>
          <w:rFonts w:ascii="Arial" w:cs="Arial" w:eastAsia="Arial" w:hAnsi="Arial"/>
          <w:color w:val="333333"/>
          <w:sz w:val="24"/>
          <w:szCs w:val="24"/>
        </w:rPr>
        <w:t xml:space="preserve">Ruta C: De Estándar Propietario a Referencia de Industria</w:t>
      </w:r>
    </w:p>
    <w:p>
      <w:pPr>
        <w:jc w:val="center"/>
      </w:pPr>
      <w:r>
        <w:rPr>
          <w:rFonts w:ascii="Arial" w:cs="Arial" w:eastAsia="Arial" w:hAnsi="Arial"/>
          <w:color w:val="666666"/>
          <w:sz w:val="20"/>
          <w:szCs w:val="20"/>
        </w:rPr>
        <w:t xml:space="preserve">Sinergia Consulting Group | Marzo 2026</w:t>
      </w:r>
    </w:p>
    <w:p>
      <w:pPr>
        <w:jc w:val="center"/>
      </w:pPr>
      <w:r>
        <w:rPr>
          <w:rFonts w:ascii="Arial" w:cs="Arial" w:eastAsia="Arial" w:hAnsi="Arial"/>
          <w:color w:val="666666"/>
          <w:sz w:val="18"/>
          <w:szCs w:val="18"/>
        </w:rPr>
        <w:t xml:space="preserve">Documento interno estratégico | Clasificación: Confidencial</w:t>
      </w:r>
    </w:p>
    <w:p>
      <w:r>
        <w:br w:type="page"/>
      </w:r>
    </w:p>
    <w:p>
      <w:pPr>
        <w:pStyle w:val="Heading1"/>
      </w:pPr>
      <w:r>
        <w:rPr>
          <w:rFonts w:ascii="Arial" w:cs="Arial" w:eastAsia="Arial" w:hAnsi="Arial"/>
          <w:b/>
          <w:bCs/>
          <w:sz w:val="32"/>
          <w:szCs w:val="32"/>
        </w:rP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Tesis Estratégica</w:t>
      </w:r>
    </w:p>
    <w:p>
      <w:pPr>
        <w:spacing w:after="120" w:line="276"/>
      </w:pPr>
      <w:r>
        <w:rPr>
          <w:rFonts w:ascii="Arial" w:cs="Arial" w:eastAsia="Arial" w:hAnsi="Arial"/>
          <w:color w:val="333333"/>
          <w:sz w:val="22"/>
          <w:szCs w:val="22"/>
        </w:rPr>
        <w:t xml:space="preserve">ARHIA v11.1 es hoy un estándar de Sinergia, no un estándar de industria. Tiene valor técnico demostrable pero carece de adopción externa, validación por terceros y visibilidad en los circuitos donde se definen los estándares de gobernanza de IA agéntica.</w:t>
      </w:r>
    </w:p>
    <w:p>
      <w:pPr>
        <w:spacing w:after="120" w:line="276"/>
      </w:pPr>
      <w:r>
        <w:rPr>
          <w:rFonts w:ascii="Arial" w:cs="Arial" w:eastAsia="Arial" w:hAnsi="Arial"/>
          <w:color w:val="333333"/>
          <w:sz w:val="22"/>
          <w:szCs w:val="22"/>
        </w:rPr>
        <w:t xml:space="preserve">La Ruta C consiste en posicionar ARHIA no como un estándar competidor de CSA, OWASP o NIST, sino como LA implementación desplegable que operacionaliza esos estándares. El mensaje es: “CSA define QUÉ significa confianza en agentes. OWASP define CUÁLES son las amenazas. ARHIA muestra CÓMO se despliega la gobernanza en producción.” Esto es complementario, no competitivo. Reduce la barrera de adopción porque no pide a nadie abandonar sus frameworks existentes — pide que los usen a través de ARHIA.</w:t>
      </w:r>
    </w:p>
    <w:p>
      <w:pPr>
        <w:spacing w:after="120" w:line="276"/>
      </w:pPr>
      <w:r>
        <w:rPr>
          <w:rFonts w:ascii="Arial" w:cs="Arial" w:eastAsia="Arial" w:hAnsi="Arial"/>
          <w:color w:val="333333"/>
          <w:sz w:val="22"/>
          <w:szCs w:val="22"/>
        </w:rPr>
        <w:t xml:space="preserve">El objetivo a 12 meses es que cuando un CISO o enterprise architect en Europa, USA o Japón busque “how to implement CSA ATF in production” o “OWASP agentic top 10 reference architecture,” ARHIA aparezca como la respuesta.</w:t>
      </w:r>
    </w:p>
    <w:p>
      <w:r>
        <w:br w:type="page"/>
      </w:r>
    </w:p>
    <w:p>
      <w:pPr>
        <w:pStyle w:val="Heading1"/>
      </w:pPr>
      <w:r>
        <w:rPr>
          <w:rFonts w:ascii="Arial" w:cs="Arial" w:eastAsia="Arial" w:hAnsi="Arial"/>
          <w:b/>
          <w:bCs/>
          <w:sz w:val="32"/>
          <w:szCs w:val="32"/>
        </w:rPr>
        <w:t xml:space="preserve">2. Qué Se Puede Lograr en 2 Semanas (y qué no)</w:t>
      </w:r>
    </w:p>
    <w:p>
      <w:pPr>
        <w:pStyle w:val="Heading2"/>
      </w:pPr>
      <w:r>
        <w:rPr>
          <w:rFonts w:ascii="Arial" w:cs="Arial" w:eastAsia="Arial" w:hAnsi="Arial"/>
          <w:b/>
          <w:bCs/>
          <w:sz w:val="28"/>
          <w:szCs w:val="28"/>
        </w:rPr>
        <w:t xml:space="preserve">2.1 Lo que SÍ se puede (Semanas 1–2)</w:t>
      </w:r>
    </w:p>
    <w:p>
      <w:pPr>
        <w:spacing w:after="120" w:line="276"/>
      </w:pPr>
      <w:r>
        <w:rPr>
          <w:rFonts w:ascii="Arial" w:cs="Arial" w:eastAsia="Arial" w:hAnsi="Arial"/>
          <w:color w:val="333333"/>
          <w:sz w:val="22"/>
          <w:szCs w:val="22"/>
        </w:rPr>
        <w:t xml:space="preserve">Preparar el arsenal completo: todos los artefactos publicables, el positioning, y los primeros envíos a canales de distribución. Cuando terminen las 2 semanas, Sinergia tiene todo listo para que las puertas que toque sean respondidas con material de calidad profesional.</w:t>
      </w:r>
    </w:p>
    <w:p>
      <w:pPr>
        <w:pStyle w:val="Heading2"/>
      </w:pPr>
      <w:r>
        <w:rPr>
          <w:rFonts w:ascii="Arial" w:cs="Arial" w:eastAsia="Arial" w:hAnsi="Arial"/>
          <w:b/>
          <w:bCs/>
          <w:sz w:val="28"/>
          <w:szCs w:val="28"/>
        </w:rPr>
        <w:t xml:space="preserve">2.2 Lo que NO se puede (requiere meses)</w:t>
      </w:r>
    </w:p>
    <w:p>
      <w:pPr>
        <w:spacing w:after="120" w:line="276"/>
      </w:pPr>
      <w:r>
        <w:rPr>
          <w:rFonts w:ascii="Arial" w:cs="Arial" w:eastAsia="Arial" w:hAnsi="Arial"/>
          <w:color w:val="333333"/>
          <w:sz w:val="22"/>
          <w:szCs w:val="22"/>
        </w:rPr>
        <w:t xml:space="preserve">Que CSA publique una referencia a ARHIA, que OWASP lo incluya en su sitio, que un cliente complete un piloto auditable, que un paper sea aceptado en conferencia, que un regulador lo cite. Estos tienen latencia externa de 2 a 12 meses. No hay atajo.</w:t>
      </w:r>
    </w:p>
    <w:p>
      <w:pPr>
        <w:pStyle w:val="Heading2"/>
      </w:pPr>
      <w:r>
        <w:rPr>
          <w:rFonts w:ascii="Arial" w:cs="Arial" w:eastAsia="Arial" w:hAnsi="Arial"/>
          <w:b/>
          <w:bCs/>
          <w:sz w:val="28"/>
          <w:szCs w:val="28"/>
        </w:rPr>
        <w:t xml:space="preserve">2.3 El modelo mental correcto</w:t>
      </w:r>
    </w:p>
    <w:p>
      <w:pPr>
        <w:spacing w:after="120" w:line="276"/>
      </w:pPr>
      <w:r>
        <w:rPr>
          <w:rFonts w:ascii="Arial" w:cs="Arial" w:eastAsia="Arial" w:hAnsi="Arial"/>
          <w:color w:val="333333"/>
          <w:sz w:val="22"/>
          <w:szCs w:val="22"/>
        </w:rPr>
        <w:t xml:space="preserve">Semanas 1–2 = cargar las armas. Meses 1–3 = disparar y esperar respuestas. Meses 3–6 = primeras validaciones externas. Meses 6–12 = masa crítica de credibilidad.</w:t>
      </w:r>
    </w:p>
    <w:p>
      <w:r>
        <w:br w:type="page"/>
      </w:r>
    </w:p>
    <w:p>
      <w:pPr>
        <w:pStyle w:val="Heading1"/>
      </w:pPr>
      <w:r>
        <w:rPr>
          <w:rFonts w:ascii="Arial" w:cs="Arial" w:eastAsia="Arial" w:hAnsi="Arial"/>
          <w:b/>
          <w:bCs/>
          <w:sz w:val="32"/>
          <w:szCs w:val="32"/>
        </w:rPr>
        <w:t xml:space="preserve">3. Sprint de 2 Semanas: Arsenal de Posicionamiento</w:t>
      </w:r>
    </w:p>
    <w:p>
      <w:pPr>
        <w:pStyle w:val="Heading2"/>
      </w:pPr>
      <w:r>
        <w:rPr>
          <w:rFonts w:ascii="Arial" w:cs="Arial" w:eastAsia="Arial" w:hAnsi="Arial"/>
          <w:b/>
          <w:bCs/>
          <w:sz w:val="28"/>
          <w:szCs w:val="28"/>
        </w:rPr>
        <w:t xml:space="preserve">Semana 1: Artefactos Publicables</w:t>
      </w:r>
    </w:p>
    <w:p>
      <w:pPr>
        <w:pStyle w:val="Heading3"/>
      </w:pPr>
      <w:r>
        <w:rPr>
          <w:rFonts w:ascii="Arial" w:cs="Arial" w:eastAsia="Arial" w:hAnsi="Arial"/>
          <w:b/>
          <w:bCs/>
          <w:sz w:val="24"/>
          <w:szCs w:val="24"/>
        </w:rPr>
        <w:t xml:space="preserve">Día 1–2: ARHIA Whitepaper (EN)</w:t>
      </w:r>
    </w:p>
    <w:p>
      <w:pPr>
        <w:spacing w:after="120" w:line="276"/>
      </w:pPr>
      <w:r>
        <w:rPr>
          <w:rFonts w:ascii="Arial" w:cs="Arial" w:eastAsia="Arial" w:hAnsi="Arial"/>
          <w:b/>
          <w:bCs/>
          <w:color w:val="333333"/>
          <w:sz w:val="22"/>
          <w:szCs w:val="22"/>
        </w:rPr>
        <w:t xml:space="preserve">Qué: </w:t>
      </w:r>
      <w:r>
        <w:rPr>
          <w:rFonts w:ascii="Arial" w:cs="Arial" w:eastAsia="Arial" w:hAnsi="Arial"/>
          <w:color w:val="333333"/>
          <w:sz w:val="22"/>
          <w:szCs w:val="22"/>
        </w:rPr>
        <w:t xml:space="preserve">Paper de 15–20 páginas en inglés, estilo whitepaper empresarial (no académico), titulado algo como: “ARHIA: A Deployable Operating Architecture for Governed Agentic Systems — Operationalizing CSA ATF, MAESTRO, and OWASP ASI01–ASI10.”</w:t>
      </w:r>
    </w:p>
    <w:p>
      <w:pPr>
        <w:spacing w:after="120" w:line="276"/>
      </w:pPr>
      <w:r>
        <w:rPr>
          <w:rFonts w:ascii="Arial" w:cs="Arial" w:eastAsia="Arial" w:hAnsi="Arial"/>
          <w:b/>
          <w:bCs/>
          <w:color w:val="333333"/>
          <w:sz w:val="22"/>
          <w:szCs w:val="22"/>
        </w:rPr>
        <w:t xml:space="preserve">Contenido: </w:t>
      </w:r>
      <w:r>
        <w:rPr>
          <w:rFonts w:ascii="Arial" w:cs="Arial" w:eastAsia="Arial" w:hAnsi="Arial"/>
          <w:color w:val="333333"/>
          <w:sz w:val="22"/>
          <w:szCs w:val="22"/>
        </w:rPr>
        <w:t xml:space="preserve">(1) El gap: frameworks existen pero no hay capa desplegable. (2) ARHIA como implementación de referencia — cómo mapea cada control de CSA/MAESTRO/OWASP a componentes concretos. (3) El ATK como trust kernel con ejemplo de flujo. (4) Caso de estudio resumido (ARHIA-DX: organizational diagnostics gobernado). (5) Comparación con alternativas (Prisma AIRS, Zenity, etc.). (6) Cómo adoptar ARHIA.</w:t>
      </w:r>
    </w:p>
    <w:p>
      <w:pPr>
        <w:spacing w:after="120" w:line="276"/>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Publicar en: (a) el blog/sitio de Sinergia, (b) LinkedIn como artículo largo, (c) CSA Community Circle (foro de CSA donde practitioners publican), (d) Medium / Substack en la vertical de AI governance.</w:t>
      </w:r>
    </w:p>
    <w:p>
      <w:pPr>
        <w:spacing w:after="120" w:line="276"/>
      </w:pPr>
      <w:r>
        <w:rPr>
          <w:rFonts w:ascii="Arial" w:cs="Arial" w:eastAsia="Arial" w:hAnsi="Arial"/>
          <w:b/>
          <w:bCs/>
          <w:color w:val="333333"/>
          <w:sz w:val="22"/>
          <w:szCs w:val="22"/>
        </w:rPr>
        <w:t xml:space="preserve">Entregable: </w:t>
      </w:r>
      <w:r>
        <w:rPr>
          <w:rFonts w:ascii="Arial" w:cs="Arial" w:eastAsia="Arial" w:hAnsi="Arial"/>
          <w:color w:val="333333"/>
          <w:sz w:val="22"/>
          <w:szCs w:val="22"/>
        </w:rPr>
        <w:t xml:space="preserve">DOCX + PDF + versión web (markdown).</w:t>
      </w:r>
    </w:p>
    <w:p>
      <w:pPr>
        <w:pStyle w:val="Heading3"/>
      </w:pPr>
      <w:r>
        <w:rPr>
          <w:rFonts w:ascii="Arial" w:cs="Arial" w:eastAsia="Arial" w:hAnsi="Arial"/>
          <w:b/>
          <w:bCs/>
          <w:sz w:val="24"/>
          <w:szCs w:val="24"/>
        </w:rPr>
        <w:t xml:space="preserve">Día 2–3: ARHIA Open Specification (EN)</w:t>
      </w:r>
    </w:p>
    <w:p>
      <w:pPr>
        <w:spacing w:after="120" w:line="276"/>
      </w:pPr>
      <w:r>
        <w:rPr>
          <w:rFonts w:ascii="Arial" w:cs="Arial" w:eastAsia="Arial" w:hAnsi="Arial"/>
          <w:b/>
          <w:bCs/>
          <w:color w:val="333333"/>
          <w:sz w:val="22"/>
          <w:szCs w:val="22"/>
        </w:rPr>
        <w:t xml:space="preserve">Qué: </w:t>
      </w:r>
      <w:r>
        <w:rPr>
          <w:rFonts w:ascii="Arial" w:cs="Arial" w:eastAsia="Arial" w:hAnsi="Arial"/>
          <w:color w:val="333333"/>
          <w:sz w:val="22"/>
          <w:szCs w:val="22"/>
        </w:rPr>
        <w:t xml:space="preserve">Publicar la especificación del framework (no el código, sino la arquitectura) como documento abierto en un repositorio GitHub público. License: CC BY 4.0 (libre de usar con atribución). Esto es crítico: un estándar que nadie puede leer no se adopta.</w:t>
      </w:r>
    </w:p>
    <w:p>
      <w:pPr>
        <w:spacing w:after="120" w:line="276"/>
      </w:pPr>
      <w:r>
        <w:rPr>
          <w:rFonts w:ascii="Arial" w:cs="Arial" w:eastAsia="Arial" w:hAnsi="Arial"/>
          <w:b/>
          <w:bCs/>
          <w:color w:val="333333"/>
          <w:sz w:val="22"/>
          <w:szCs w:val="22"/>
        </w:rPr>
        <w:t xml:space="preserve">Contenido: </w:t>
      </w:r>
      <w:r>
        <w:rPr>
          <w:rFonts w:ascii="Arial" w:cs="Arial" w:eastAsia="Arial" w:hAnsi="Arial"/>
          <w:color w:val="333333"/>
          <w:sz w:val="22"/>
          <w:szCs w:val="22"/>
        </w:rPr>
        <w:t xml:space="preserve">Framework Overview + Master Architecture + Annex Compendium (las versiones en inglés que ya tenemos). El README del repo explica qué es ARHIA, cómo se relaciona con CSA/OWASP/NIST, y cómo empezar.</w:t>
      </w:r>
    </w:p>
    <w:p>
      <w:pPr>
        <w:spacing w:after="120" w:line="276"/>
      </w:pPr>
      <w:r>
        <w:rPr>
          <w:rFonts w:ascii="Arial" w:cs="Arial" w:eastAsia="Arial" w:hAnsi="Arial"/>
          <w:b/>
          <w:bCs/>
          <w:color w:val="333333"/>
          <w:sz w:val="22"/>
          <w:szCs w:val="22"/>
        </w:rPr>
        <w:t xml:space="preserve">Lo que NO se publica: </w:t>
      </w:r>
      <w:r>
        <w:rPr>
          <w:rFonts w:ascii="Arial" w:cs="Arial" w:eastAsia="Arial" w:hAnsi="Arial"/>
          <w:color w:val="333333"/>
          <w:sz w:val="22"/>
          <w:szCs w:val="22"/>
        </w:rPr>
        <w:t xml:space="preserve">El código de referencia (arhia_atk_service.py, etc.), ARHIA-DX (el producto), ni las simulaciones de clientes. La especificación es abierta; la implementación es IP de Sinergia.</w:t>
      </w:r>
    </w:p>
    <w:p>
      <w:pPr>
        <w:pStyle w:val="Heading3"/>
      </w:pPr>
      <w:r>
        <w:rPr>
          <w:rFonts w:ascii="Arial" w:cs="Arial" w:eastAsia="Arial" w:hAnsi="Arial"/>
          <w:b/>
          <w:bCs/>
          <w:sz w:val="24"/>
          <w:szCs w:val="24"/>
        </w:rPr>
        <w:t xml:space="preserve">Día 3–4: Crosswalk Tables como Activos Independientes</w:t>
      </w:r>
    </w:p>
    <w:p>
      <w:pPr>
        <w:spacing w:after="120" w:line="276"/>
      </w:pPr>
      <w:r>
        <w:rPr>
          <w:rFonts w:ascii="Arial" w:cs="Arial" w:eastAsia="Arial" w:hAnsi="Arial"/>
          <w:b/>
          <w:bCs/>
          <w:color w:val="333333"/>
          <w:sz w:val="22"/>
          <w:szCs w:val="22"/>
        </w:rPr>
        <w:t xml:space="preserve">Qué: </w:t>
      </w:r>
      <w:r>
        <w:rPr>
          <w:rFonts w:ascii="Arial" w:cs="Arial" w:eastAsia="Arial" w:hAnsi="Arial"/>
          <w:color w:val="333333"/>
          <w:sz w:val="22"/>
          <w:szCs w:val="22"/>
        </w:rPr>
        <w:t xml:space="preserve">Extraer las tablas de crosswalk (CSA ATF → ARHIA, MAESTRO → ARHIA, OWASP ASI01–10 → ARHIA) como documentos independientes de 2–3 páginas cada uno. Estos son los activos de mayor viralidad porque un CISO puede leerlos en 5 minutos y entender el valor.</w:t>
      </w:r>
    </w:p>
    <w:p>
      <w:pPr>
        <w:spacing w:after="120" w:line="276"/>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Publicar como descargables en el sitio de Sinergia (lead capture), como posts de LinkedIn, y enviar directamente a los working groups de CSA y OWASP.</w:t>
      </w:r>
    </w:p>
    <w:p>
      <w:pPr>
        <w:pStyle w:val="Heading3"/>
      </w:pPr>
      <w:r>
        <w:rPr>
          <w:rFonts w:ascii="Arial" w:cs="Arial" w:eastAsia="Arial" w:hAnsi="Arial"/>
          <w:b/>
          <w:bCs/>
          <w:sz w:val="24"/>
          <w:szCs w:val="24"/>
        </w:rPr>
        <w:t xml:space="preserve">Día 4–5: Demo Video (5 minutos)</w:t>
      </w:r>
    </w:p>
    <w:p>
      <w:pPr>
        <w:spacing w:after="120" w:line="276"/>
      </w:pPr>
      <w:r>
        <w:rPr>
          <w:rFonts w:ascii="Arial" w:cs="Arial" w:eastAsia="Arial" w:hAnsi="Arial"/>
          <w:b/>
          <w:bCs/>
          <w:color w:val="333333"/>
          <w:sz w:val="22"/>
          <w:szCs w:val="22"/>
        </w:rPr>
        <w:t xml:space="preserve">Qué: </w:t>
      </w:r>
      <w:r>
        <w:rPr>
          <w:rFonts w:ascii="Arial" w:cs="Arial" w:eastAsia="Arial" w:hAnsi="Arial"/>
          <w:color w:val="333333"/>
          <w:sz w:val="22"/>
          <w:szCs w:val="22"/>
        </w:rPr>
        <w:t xml:space="preserve">Video de 5 minutos mostrando la demo.py ejecutándose: los 6 escenarios ATK (allow, deny, quarantine, degrade, require_human_approval, allow_with_restrictions), el ledger con HMAC, la verificación de integridad. Narrado en inglés.</w:t>
      </w:r>
    </w:p>
    <w:p>
      <w:pPr>
        <w:spacing w:after="120" w:line="276"/>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YouTube (SEO: “agentic trust kernel demo”, “CSA ATF implementation”), LinkedIn, embed en el README del repo GitHub.</w:t>
      </w:r>
    </w:p>
    <w:p>
      <w:pPr>
        <w:pStyle w:val="Heading2"/>
      </w:pPr>
      <w:r>
        <w:rPr>
          <w:rFonts w:ascii="Arial" w:cs="Arial" w:eastAsia="Arial" w:hAnsi="Arial"/>
          <w:b/>
          <w:bCs/>
          <w:sz w:val="28"/>
          <w:szCs w:val="28"/>
        </w:rPr>
        <w:t xml:space="preserve">Semana 2: Distribución y Primeros Contactos</w:t>
      </w:r>
    </w:p>
    <w:p>
      <w:pPr>
        <w:pStyle w:val="Heading3"/>
      </w:pPr>
      <w:r>
        <w:rPr>
          <w:rFonts w:ascii="Arial" w:cs="Arial" w:eastAsia="Arial" w:hAnsi="Arial"/>
          <w:b/>
          <w:bCs/>
          <w:sz w:val="24"/>
          <w:szCs w:val="24"/>
        </w:rPr>
        <w:t xml:space="preserve">Día 6–7: Submissions a Canales de CSA y OWASP</w:t>
      </w:r>
    </w:p>
    <w:p>
      <w:pPr>
        <w:spacing w:after="120" w:line="276"/>
      </w:pPr>
      <w:r>
        <w:rPr>
          <w:rFonts w:ascii="Arial" w:cs="Arial" w:eastAsia="Arial" w:hAnsi="Arial"/>
          <w:b/>
          <w:bCs/>
          <w:color w:val="333333"/>
          <w:sz w:val="22"/>
          <w:szCs w:val="22"/>
        </w:rPr>
        <w:t xml:space="preserve">CSA: </w:t>
      </w:r>
      <w:r>
        <w:rPr>
          <w:rFonts w:ascii="Arial" w:cs="Arial" w:eastAsia="Arial" w:hAnsi="Arial"/>
          <w:color w:val="333333"/>
          <w:sz w:val="22"/>
          <w:szCs w:val="22"/>
        </w:rPr>
        <w:t xml:space="preserve">(a) Publicar en el CSA Community Circle / Research section. (b) Contactar al AI Controls Matrix working group con una propuesta de contribución: “We’ve built a deployable reference implementation that operationalizes the ATF. Would the working group be interested in reviewing it?” (c) Si CSA tiene un submission process para “implementation guides,” enviar el whitepaper.</w:t>
      </w:r>
    </w:p>
    <w:p>
      <w:pPr>
        <w:spacing w:after="120" w:line="276"/>
      </w:pPr>
      <w:r>
        <w:rPr>
          <w:rFonts w:ascii="Arial" w:cs="Arial" w:eastAsia="Arial" w:hAnsi="Arial"/>
          <w:b/>
          <w:bCs/>
          <w:color w:val="333333"/>
          <w:sz w:val="22"/>
          <w:szCs w:val="22"/>
        </w:rPr>
        <w:t xml:space="preserve">OWASP: </w:t>
      </w:r>
      <w:r>
        <w:rPr>
          <w:rFonts w:ascii="Arial" w:cs="Arial" w:eastAsia="Arial" w:hAnsi="Arial"/>
          <w:color w:val="333333"/>
          <w:sz w:val="22"/>
          <w:szCs w:val="22"/>
        </w:rPr>
        <w:t xml:space="preserve">(a) Contribuir al OWASP Agentic Security Project con la tabla de crosswalk ASI01–ASI10 → ARHIA mitigations como un “community implementation guide.” OWASP es open-contribution — cualquiera puede proponer. (b) Contactar a los líderes del proyecto (identificar en la página de OWASP GenAI Security Project).</w:t>
      </w:r>
    </w:p>
    <w:p>
      <w:pPr>
        <w:spacing w:after="120" w:line="276"/>
      </w:pPr>
      <w:r>
        <w:rPr>
          <w:rFonts w:ascii="Arial" w:cs="Arial" w:eastAsia="Arial" w:hAnsi="Arial"/>
          <w:b/>
          <w:bCs/>
          <w:color w:val="333333"/>
          <w:sz w:val="22"/>
          <w:szCs w:val="22"/>
        </w:rPr>
        <w:t xml:space="preserve">Tono: </w:t>
      </w:r>
      <w:r>
        <w:rPr>
          <w:rFonts w:ascii="Arial" w:cs="Arial" w:eastAsia="Arial" w:hAnsi="Arial"/>
          <w:color w:val="333333"/>
          <w:sz w:val="22"/>
          <w:szCs w:val="22"/>
        </w:rPr>
        <w:t xml:space="preserve">Contribución, no venta. “Hemos construido esto, queremos compartirlo con la comunidad, ¿cómo podemos contribuir?”</w:t>
      </w:r>
    </w:p>
    <w:p>
      <w:pPr>
        <w:pStyle w:val="Heading3"/>
      </w:pPr>
      <w:r>
        <w:rPr>
          <w:rFonts w:ascii="Arial" w:cs="Arial" w:eastAsia="Arial" w:hAnsi="Arial"/>
          <w:b/>
          <w:bCs/>
          <w:sz w:val="24"/>
          <w:szCs w:val="24"/>
        </w:rPr>
        <w:t xml:space="preserve">Día 8–9: LinkedIn Campaign Launch</w:t>
      </w:r>
    </w:p>
    <w:p>
      <w:pPr>
        <w:spacing w:after="120" w:line="276"/>
      </w:pPr>
      <w:r>
        <w:rPr>
          <w:rFonts w:ascii="Arial" w:cs="Arial" w:eastAsia="Arial" w:hAnsi="Arial"/>
          <w:b/>
          <w:bCs/>
          <w:color w:val="333333"/>
          <w:sz w:val="22"/>
          <w:szCs w:val="22"/>
        </w:rPr>
        <w:t xml:space="preserve">Post 1: </w:t>
      </w:r>
      <w:r>
        <w:rPr>
          <w:rFonts w:ascii="Arial" w:cs="Arial" w:eastAsia="Arial" w:hAnsi="Arial"/>
          <w:color w:val="333333"/>
          <w:sz w:val="22"/>
          <w:szCs w:val="22"/>
        </w:rPr>
        <w:t xml:space="preserve">“We built a deployable trust kernel for agentic AI. Here’s how it operationalizes CSA ATF, MAESTRO, and OWASP ASI.” + link al whitepaper. Target: CISOs, enterprise architects, AI governance professionals.</w:t>
      </w:r>
    </w:p>
    <w:p>
      <w:pPr>
        <w:spacing w:after="120" w:line="276"/>
      </w:pPr>
      <w:r>
        <w:rPr>
          <w:rFonts w:ascii="Arial" w:cs="Arial" w:eastAsia="Arial" w:hAnsi="Arial"/>
          <w:b/>
          <w:bCs/>
          <w:color w:val="333333"/>
          <w:sz w:val="22"/>
          <w:szCs w:val="22"/>
        </w:rPr>
        <w:t xml:space="preserve">Post 2: </w:t>
      </w:r>
      <w:r>
        <w:rPr>
          <w:rFonts w:ascii="Arial" w:cs="Arial" w:eastAsia="Arial" w:hAnsi="Arial"/>
          <w:color w:val="333333"/>
          <w:sz w:val="22"/>
          <w:szCs w:val="22"/>
        </w:rPr>
        <w:t xml:space="preserve">“6 decisions your agentic trust kernel must make in real time” (allow, deny, quarantine, degrade, require_human_approval, allow_with_restrictions) + link al demo video.</w:t>
      </w:r>
    </w:p>
    <w:p>
      <w:pPr>
        <w:spacing w:after="120" w:line="276"/>
      </w:pPr>
      <w:r>
        <w:rPr>
          <w:rFonts w:ascii="Arial" w:cs="Arial" w:eastAsia="Arial" w:hAnsi="Arial"/>
          <w:b/>
          <w:bCs/>
          <w:color w:val="333333"/>
          <w:sz w:val="22"/>
          <w:szCs w:val="22"/>
        </w:rPr>
        <w:t xml:space="preserve">Post 3: </w:t>
      </w:r>
      <w:r>
        <w:rPr>
          <w:rFonts w:ascii="Arial" w:cs="Arial" w:eastAsia="Arial" w:hAnsi="Arial"/>
          <w:color w:val="333333"/>
          <w:sz w:val="22"/>
          <w:szCs w:val="22"/>
        </w:rPr>
        <w:t xml:space="preserve">“Why guardrails in a system prompt are defense-by-hope, not defense-in-depth” (teaser del whitepaper, referencia al caso Blackboard como ejemplo).</w:t>
      </w:r>
    </w:p>
    <w:p>
      <w:pPr>
        <w:spacing w:after="120" w:line="276"/>
      </w:pPr>
      <w:r>
        <w:rPr>
          <w:rFonts w:ascii="Arial" w:cs="Arial" w:eastAsia="Arial" w:hAnsi="Arial"/>
          <w:b/>
          <w:bCs/>
          <w:color w:val="333333"/>
          <w:sz w:val="22"/>
          <w:szCs w:val="22"/>
        </w:rPr>
        <w:t xml:space="preserve">Cadencia: </w:t>
      </w:r>
      <w:r>
        <w:rPr>
          <w:rFonts w:ascii="Arial" w:cs="Arial" w:eastAsia="Arial" w:hAnsi="Arial"/>
          <w:color w:val="333333"/>
          <w:sz w:val="22"/>
          <w:szCs w:val="22"/>
        </w:rPr>
        <w:t xml:space="preserve">3 posts en la semana, espaciados lunes/miércoles/viernes. Perfil personal de Ray + página de Sinergia.</w:t>
      </w:r>
    </w:p>
    <w:p>
      <w:pPr>
        <w:pStyle w:val="Heading3"/>
      </w:pPr>
      <w:r>
        <w:rPr>
          <w:rFonts w:ascii="Arial" w:cs="Arial" w:eastAsia="Arial" w:hAnsi="Arial"/>
          <w:b/>
          <w:bCs/>
          <w:sz w:val="24"/>
          <w:szCs w:val="24"/>
        </w:rPr>
        <w:t xml:space="preserve">Día 9–10: Primeros Contactos Directos</w:t>
      </w:r>
    </w:p>
    <w:p>
      <w:pPr>
        <w:spacing w:after="120" w:line="276"/>
      </w:pPr>
      <w:r>
        <w:rPr>
          <w:rFonts w:ascii="Arial" w:cs="Arial" w:eastAsia="Arial" w:hAnsi="Arial"/>
          <w:b/>
          <w:bCs/>
          <w:color w:val="333333"/>
          <w:sz w:val="22"/>
          <w:szCs w:val="22"/>
        </w:rPr>
        <w:t xml:space="preserve">Target list (10–15 personas): </w:t>
      </w:r>
      <w:r>
        <w:rPr>
          <w:rFonts w:ascii="Arial" w:cs="Arial" w:eastAsia="Arial" w:hAnsi="Arial"/>
          <w:color w:val="333333"/>
          <w:sz w:val="22"/>
          <w:szCs w:val="22"/>
        </w:rPr>
        <w:t xml:space="preserve">(a) 3–5 líderes del CSA AI working group (identificar en la página de CSA), (b) 2–3 líderes del OWASP GenAI Security Project, (c) 2–3 analistas de firmas como Gartner/Forrester que cubren AI governance (buscar autores de reportes recientes sobre agentic security), (d) 2–3 CISOs en tu red que estén evaluando agentes.</w:t>
      </w:r>
    </w:p>
    <w:p>
      <w:pPr>
        <w:spacing w:after="120" w:line="276"/>
      </w:pPr>
      <w:r>
        <w:rPr>
          <w:rFonts w:ascii="Arial" w:cs="Arial" w:eastAsia="Arial" w:hAnsi="Arial"/>
          <w:b/>
          <w:bCs/>
          <w:color w:val="333333"/>
          <w:sz w:val="22"/>
          <w:szCs w:val="22"/>
        </w:rPr>
        <w:t xml:space="preserve">Mensaje: </w:t>
      </w:r>
      <w:r>
        <w:rPr>
          <w:rFonts w:ascii="Arial" w:cs="Arial" w:eastAsia="Arial" w:hAnsi="Arial"/>
          <w:color w:val="333333"/>
          <w:sz w:val="22"/>
          <w:szCs w:val="22"/>
        </w:rPr>
        <w:t xml:space="preserve">Personalizado, no cold spam. “I saw your work on [topic]. We’ve built an open reference architecture that implements [CSA ATF / OWASP ASI] as a deployable system. Here’s the spec [link]. Would you be open to a 15-minute conversation about how this could complement [their project]?”</w:t>
      </w:r>
    </w:p>
    <w:p>
      <w:pPr>
        <w:pStyle w:val="Heading3"/>
      </w:pPr>
      <w:r>
        <w:rPr>
          <w:rFonts w:ascii="Arial" w:cs="Arial" w:eastAsia="Arial" w:hAnsi="Arial"/>
          <w:b/>
          <w:bCs/>
          <w:sz w:val="24"/>
          <w:szCs w:val="24"/>
        </w:rPr>
        <w:t xml:space="preserve">Día 10–11: Registro de PI</w:t>
      </w:r>
    </w:p>
    <w:p>
      <w:pPr>
        <w:spacing w:after="120" w:line="276"/>
      </w:pPr>
      <w:r>
        <w:rPr>
          <w:rFonts w:ascii="Arial" w:cs="Arial" w:eastAsia="Arial" w:hAnsi="Arial"/>
          <w:b/>
          <w:bCs/>
          <w:color w:val="333333"/>
          <w:sz w:val="22"/>
          <w:szCs w:val="22"/>
        </w:rPr>
        <w:t xml:space="preserve">Depósito de derechos de autor: </w:t>
      </w:r>
      <w:r>
        <w:rPr>
          <w:rFonts w:ascii="Arial" w:cs="Arial" w:eastAsia="Arial" w:hAnsi="Arial"/>
          <w:color w:val="333333"/>
          <w:sz w:val="22"/>
          <w:szCs w:val="22"/>
        </w:rPr>
        <w:t xml:space="preserve">Registrar la especificación ARHIA v11.1 en la Dirección Nacional de Derechos de Autor (DNDA) de Colombia. Costo: ~COP $60,000. Tiempo de trámite: 15 días hábiles. Esto establece fecha de creación y autoría formal.</w:t>
      </w:r>
    </w:p>
    <w:p>
      <w:pPr>
        <w:spacing w:after="120" w:line="276"/>
      </w:pPr>
      <w:r>
        <w:rPr>
          <w:rFonts w:ascii="Arial" w:cs="Arial" w:eastAsia="Arial" w:hAnsi="Arial"/>
          <w:b/>
          <w:bCs/>
          <w:color w:val="333333"/>
          <w:sz w:val="22"/>
          <w:szCs w:val="22"/>
        </w:rPr>
        <w:t xml:space="preserve">Marca: </w:t>
      </w:r>
      <w:r>
        <w:rPr>
          <w:rFonts w:ascii="Arial" w:cs="Arial" w:eastAsia="Arial" w:hAnsi="Arial"/>
          <w:color w:val="333333"/>
          <w:sz w:val="22"/>
          <w:szCs w:val="22"/>
        </w:rPr>
        <w:t xml:space="preserve">Iniciar solicitud de registro de marca “ARHIA” ante la SIC (Superintendencia de Industria y Comercio). Costo: ~COP $1.2M. Tiempo: 4–6 meses. Protección en la clase 42 (servicios de tecnología) y clase 9 (software).</w:t>
      </w:r>
    </w:p>
    <w:p>
      <w:pPr>
        <w:pStyle w:val="Heading3"/>
      </w:pPr>
      <w:r>
        <w:rPr>
          <w:rFonts w:ascii="Arial" w:cs="Arial" w:eastAsia="Arial" w:hAnsi="Arial"/>
          <w:b/>
          <w:bCs/>
          <w:sz w:val="24"/>
          <w:szCs w:val="24"/>
        </w:rPr>
        <w:t xml:space="preserve">Día 12–14: Preparación del Primer Piloto Auditable</w:t>
      </w:r>
    </w:p>
    <w:p>
      <w:pPr>
        <w:spacing w:after="120" w:line="276"/>
      </w:pPr>
      <w:r>
        <w:rPr>
          <w:rFonts w:ascii="Arial" w:cs="Arial" w:eastAsia="Arial" w:hAnsi="Arial"/>
          <w:b/>
          <w:bCs/>
          <w:color w:val="333333"/>
          <w:sz w:val="22"/>
          <w:szCs w:val="22"/>
        </w:rPr>
        <w:t xml:space="preserve">Candidatos: </w:t>
      </w:r>
      <w:r>
        <w:rPr>
          <w:rFonts w:ascii="Arial" w:cs="Arial" w:eastAsia="Arial" w:hAnsi="Arial"/>
          <w:color w:val="333333"/>
          <w:sz w:val="22"/>
          <w:szCs w:val="22"/>
        </w:rPr>
        <w:t xml:space="preserve">(a) Grupo Confía (ya tienes relación + diagnóstico de innovación). (b) Universidad del Atlántico / Ministerio de Cultura (el agente Blackboard). (c) Un cliente del programa Activa Tu Negocio (FYGP o similar). El piloto ideal es uno donde puedas ejecutar el engagement completo y documentar el evidence package per ARHIA Pilot Playbook.</w:t>
      </w:r>
    </w:p>
    <w:p>
      <w:pPr>
        <w:spacing w:after="120" w:line="276"/>
      </w:pPr>
      <w:r>
        <w:rPr>
          <w:rFonts w:ascii="Arial" w:cs="Arial" w:eastAsia="Arial" w:hAnsi="Arial"/>
          <w:b/>
          <w:bCs/>
          <w:color w:val="333333"/>
          <w:sz w:val="22"/>
          <w:szCs w:val="22"/>
        </w:rPr>
        <w:t xml:space="preserve">Entregable: </w:t>
      </w:r>
      <w:r>
        <w:rPr>
          <w:rFonts w:ascii="Arial" w:cs="Arial" w:eastAsia="Arial" w:hAnsi="Arial"/>
          <w:color w:val="333333"/>
          <w:sz w:val="22"/>
          <w:szCs w:val="22"/>
        </w:rPr>
        <w:t xml:space="preserve">Propuesta de piloto formal para el candidato seleccionado, con scope, timeline (10 semanas per Playbook), y el compromiso de producir un case study publicable al finalizar.</w:t>
      </w:r>
    </w:p>
    <w:p>
      <w:r>
        <w:br w:type="page"/>
      </w:r>
    </w:p>
    <w:p>
      <w:pPr>
        <w:pStyle w:val="Heading1"/>
      </w:pPr>
      <w:r>
        <w:rPr>
          <w:rFonts w:ascii="Arial" w:cs="Arial" w:eastAsia="Arial" w:hAnsi="Arial"/>
          <w:b/>
          <w:bCs/>
          <w:sz w:val="32"/>
          <w:szCs w:val="32"/>
        </w:rPr>
        <w:t xml:space="preserve">4. Roadmap Completo: Meses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1500"/>
        <w:gridCol w:w="20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Hito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Actividades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Indicador de Éxito</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Arsenal listo + primeras puertas tocadas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Sprint 2 semanas (Sección 3). Whitepaper publicado. GitHub live. Demo video. Primeros 10–15 contactos enviados. PI en trámite.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Whitepaper, GitHub repo, demo video, 3 crosswalk docs, propuesta piloto</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Repo con &gt;10 stars. Whitepaper con &gt;500 views. ≥1 respuesta positiva de CSA/OWASP.</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Primeras conversaciones + piloto arranca</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Follow-up con contactos CSA/OWASP. Kick-off del primer piloto (Confía o UniAtlántico). Segundo batch de LinkedIn posts (3 posts/semana). Aplicar como speaker a conferencias Q3 2026.</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Acta de inicio piloto, 6+ LinkedIn posts publicados, 2–3 aplicaciones a conferencias</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iniciado. ≥3 conversaciones activas con actores CSA/OWASP.</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semana 4 + primeras validaciones</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en ejecución (semanas 3–4: integración + dry run). Primer feedback de CSA/OWASP sobre la contribución propuesta. Blog post técnico: “How we implemented the OWASP Agentic Top 10 in a production system.”</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Blog post, piloto dry run completado</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en ejecución sin blockers. ≥1 publicación referenciada externamente.</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4–5</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completo + case study</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semanas 5–8 (live) + semanas 9–10 (análisis + go/no-go). Case study redactado: scope, métricas, evidence package, lecciones. Segundo piloto en negociación.</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Evidence package completo, case study publicable, go/no-go scorecard</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Piloto completado con score ≥85. Case study publicado.</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5–6</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Case study publicado + conferencia</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Case study publicado en LinkedIn + blog + enviado a CSA como “implementation example.” Presentación en conferencia (BSides, ISACA chapter, DevSecOps meetup, o similar). Segundo piloto en ejecución.</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Presentación, case study en circulación, segundo piloto activo</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Case study con &gt;1,000 views. Invitación a presentar en otro evento.</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6–9</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Credibilidad acumulada + primeros leads internacionales</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2 pilotos completados. 2 case studies publicados. Presencia en 2+ eventos. Contactos activos con al menos 1 firma europea o estadounidense interesada en implementar. LÍDER IA franchise system puede usar ARHIA como diferenciador.</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2 case studies, 2+ presentaciones, pipeline de leads internacionales</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Primer lead calificado de mercado regulado (EU/USA/otro).</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9–12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Primer contrato internacional + ecosistema emergente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Primer engagement internacional (implementación o asesoría de gobernanza). ARHIA referenciado en al menos 1 publicación externa (CSA blog, OWASP wiki, reporte de analista, o paper de conferencia). Versión ARHIA v12 con feedback de los pilotos.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Contrato internacional firmado, referencia externa verificable, ARHIA v12</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color w:val="333333"/>
                <w:sz w:val="18"/>
                <w:szCs w:val="18"/>
              </w:rPr>
              <w:t xml:space="preserve">Revenue internacional. Referencia externa. Versión actualizada con feedback real.</w:t>
            </w:r>
          </w:p>
        </w:tc>
      </w:tr>
    </w:tbl>
    <w:p>
      <w:r>
        <w:br w:type="page"/>
      </w:r>
    </w:p>
    <w:p>
      <w:pPr>
        <w:pStyle w:val="Heading1"/>
      </w:pPr>
      <w:r>
        <w:rPr>
          <w:rFonts w:ascii="Arial" w:cs="Arial" w:eastAsia="Arial" w:hAnsi="Arial"/>
          <w:b/>
          <w:bCs/>
          <w:sz w:val="32"/>
          <w:szCs w:val="32"/>
        </w:rPr>
        <w:t xml:space="preserve">5. Canales de Distribución Específicos</w:t>
      </w:r>
    </w:p>
    <w:p>
      <w:pPr>
        <w:pStyle w:val="Heading2"/>
      </w:pPr>
      <w:r>
        <w:rPr>
          <w:rFonts w:ascii="Arial" w:cs="Arial" w:eastAsia="Arial" w:hAnsi="Arial"/>
          <w:b/>
          <w:bCs/>
          <w:sz w:val="28"/>
          <w:szCs w:val="28"/>
        </w:rPr>
        <w:t xml:space="preserve">5.1 CSA (Cloud Security Alliance)</w:t>
      </w:r>
    </w:p>
    <w:p>
      <w:pPr>
        <w:spacing w:after="120" w:line="276"/>
      </w:pPr>
      <w:r>
        <w:rPr>
          <w:rFonts w:ascii="Arial" w:cs="Arial" w:eastAsia="Arial" w:hAnsi="Arial"/>
          <w:b/>
          <w:bCs/>
          <w:color w:val="333333"/>
          <w:sz w:val="22"/>
          <w:szCs w:val="22"/>
        </w:rPr>
        <w:t xml:space="preserve">Canal: </w:t>
      </w:r>
      <w:r>
        <w:rPr>
          <w:rFonts w:ascii="Arial" w:cs="Arial" w:eastAsia="Arial" w:hAnsi="Arial"/>
          <w:color w:val="333333"/>
          <w:sz w:val="22"/>
          <w:szCs w:val="22"/>
        </w:rPr>
        <w:t xml:space="preserve">CSA Research (https://cloudsecurityalliance.org/research/). CSA acepta contribuciones de investigación de la comunidad. El formato es whitepaper o “research paper.”</w:t>
      </w:r>
    </w:p>
    <w:p>
      <w:pPr>
        <w:spacing w:after="120" w:line="276"/>
      </w:pPr>
      <w:r>
        <w:rPr>
          <w:rFonts w:ascii="Arial" w:cs="Arial" w:eastAsia="Arial" w:hAnsi="Arial"/>
          <w:b/>
          <w:bCs/>
          <w:color w:val="333333"/>
          <w:sz w:val="22"/>
          <w:szCs w:val="22"/>
        </w:rPr>
        <w:t xml:space="preserve">Ruta: </w:t>
      </w:r>
      <w:r>
        <w:rPr>
          <w:rFonts w:ascii="Arial" w:cs="Arial" w:eastAsia="Arial" w:hAnsi="Arial"/>
          <w:color w:val="333333"/>
          <w:sz w:val="22"/>
          <w:szCs w:val="22"/>
        </w:rPr>
        <w:t xml:space="preserve">(1) Publicar el whitepaper en CSA Community. (2) Contactar al AI Safety Initiative working group. (3) Proponer ARHIA como “implementation guide” del ATF. (4) Si aceptan, ARHIA aparece en la página de recursos de CSA con el logo de Sinergia.</w:t>
      </w:r>
    </w:p>
    <w:p>
      <w:pPr>
        <w:spacing w:after="120" w:line="276"/>
      </w:pPr>
      <w:r>
        <w:rPr>
          <w:rFonts w:ascii="Arial" w:cs="Arial" w:eastAsia="Arial" w:hAnsi="Arial"/>
          <w:b/>
          <w:bCs/>
          <w:color w:val="333333"/>
          <w:sz w:val="22"/>
          <w:szCs w:val="22"/>
        </w:rPr>
        <w:t xml:space="preserve">Tiempo realista: </w:t>
      </w:r>
      <w:r>
        <w:rPr>
          <w:rFonts w:ascii="Arial" w:cs="Arial" w:eastAsia="Arial" w:hAnsi="Arial"/>
          <w:color w:val="333333"/>
          <w:sz w:val="22"/>
          <w:szCs w:val="22"/>
        </w:rPr>
        <w:t xml:space="preserve">3–6 meses para que CSA revise y publique.</w:t>
      </w:r>
    </w:p>
    <w:p>
      <w:pPr>
        <w:pStyle w:val="Heading2"/>
      </w:pPr>
      <w:r>
        <w:rPr>
          <w:rFonts w:ascii="Arial" w:cs="Arial" w:eastAsia="Arial" w:hAnsi="Arial"/>
          <w:b/>
          <w:bCs/>
          <w:sz w:val="28"/>
          <w:szCs w:val="28"/>
        </w:rPr>
        <w:t xml:space="preserve">5.2 OWASP</w:t>
      </w:r>
    </w:p>
    <w:p>
      <w:pPr>
        <w:spacing w:after="120" w:line="276"/>
      </w:pPr>
      <w:r>
        <w:rPr>
          <w:rFonts w:ascii="Arial" w:cs="Arial" w:eastAsia="Arial" w:hAnsi="Arial"/>
          <w:b/>
          <w:bCs/>
          <w:color w:val="333333"/>
          <w:sz w:val="22"/>
          <w:szCs w:val="22"/>
        </w:rPr>
        <w:t xml:space="preserve">Canal: </w:t>
      </w:r>
      <w:r>
        <w:rPr>
          <w:rFonts w:ascii="Arial" w:cs="Arial" w:eastAsia="Arial" w:hAnsi="Arial"/>
          <w:color w:val="333333"/>
          <w:sz w:val="22"/>
          <w:szCs w:val="22"/>
        </w:rPr>
        <w:t xml:space="preserve">OWASP GenAI Security Project (https://genai.owasp.org/). OWASP es open-contribution: cualquiera puede proponer contenido vía GitHub PR o contacto directo con los project leaders.</w:t>
      </w:r>
    </w:p>
    <w:p>
      <w:pPr>
        <w:spacing w:after="120" w:line="276"/>
      </w:pPr>
      <w:r>
        <w:rPr>
          <w:rFonts w:ascii="Arial" w:cs="Arial" w:eastAsia="Arial" w:hAnsi="Arial"/>
          <w:b/>
          <w:bCs/>
          <w:color w:val="333333"/>
          <w:sz w:val="22"/>
          <w:szCs w:val="22"/>
        </w:rPr>
        <w:t xml:space="preserve">Ruta: </w:t>
      </w:r>
      <w:r>
        <w:rPr>
          <w:rFonts w:ascii="Arial" w:cs="Arial" w:eastAsia="Arial" w:hAnsi="Arial"/>
          <w:color w:val="333333"/>
          <w:sz w:val="22"/>
          <w:szCs w:val="22"/>
        </w:rPr>
        <w:t xml:space="preserve">(1) Fork del repo OWASP GenAI. (2) Agregar una sección “Implementation Reference: ARHIA” en la página de ASI mitigations. (3) Submit PR. (4) Los project leaders revisan y aprueban/rechazan/piden cambios.</w:t>
      </w:r>
    </w:p>
    <w:p>
      <w:pPr>
        <w:spacing w:after="120" w:line="276"/>
      </w:pPr>
      <w:r>
        <w:rPr>
          <w:rFonts w:ascii="Arial" w:cs="Arial" w:eastAsia="Arial" w:hAnsi="Arial"/>
          <w:b/>
          <w:bCs/>
          <w:color w:val="333333"/>
          <w:sz w:val="22"/>
          <w:szCs w:val="22"/>
        </w:rPr>
        <w:t xml:space="preserve">Tiempo realista: </w:t>
      </w:r>
      <w:r>
        <w:rPr>
          <w:rFonts w:ascii="Arial" w:cs="Arial" w:eastAsia="Arial" w:hAnsi="Arial"/>
          <w:color w:val="333333"/>
          <w:sz w:val="22"/>
          <w:szCs w:val="22"/>
        </w:rPr>
        <w:t xml:space="preserve">1–3 meses para que el PR sea revisado. Si la calidad es alta (y lo es), la probabilidad de aceptación es razonable.</w:t>
      </w:r>
    </w:p>
    <w:p>
      <w:pPr>
        <w:pStyle w:val="Heading2"/>
      </w:pPr>
      <w:r>
        <w:rPr>
          <w:rFonts w:ascii="Arial" w:cs="Arial" w:eastAsia="Arial" w:hAnsi="Arial"/>
          <w:b/>
          <w:bCs/>
          <w:sz w:val="28"/>
          <w:szCs w:val="28"/>
        </w:rPr>
        <w:t xml:space="preserve">5.3 Conferencias y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Evento</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Relevancia</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Fecha estimada CFP</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Probabilidad de aceptación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BSides (cualquier ciudad LATAM)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Security community, low barrier to present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Rolling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Alta (BSides acepta presentaciones diversas)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ISACA Chapter Colombia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GRC professionals, exactamente el target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Trimestral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Alta (ISACA chapters buscan contenido local)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CSA Summit (regional o global)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Directamente el ecosistema CSA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Q3–Q4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Media (necesita credibilidad previa)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OWASP AppSec (regional)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Directamente el ecosistema OWASP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Q3 2026</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Media-Alta (si tienes un caso de estudio)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AI Summit Latin America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C-suite, AI decision makers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Q4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Media (competitivo pero diferenciado)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Gartner Security &amp; Risk (como asistente)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Networking con analistas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Q3–Q4 2026</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N/A (asistir, no presentar — el objetivo es conocer analistas)</w:t>
            </w:r>
          </w:p>
        </w:tc>
      </w:tr>
    </w:tbl>
    <w:p>
      <w:pPr>
        <w:pStyle w:val="Heading2"/>
      </w:pPr>
      <w:r>
        <w:rPr>
          <w:rFonts w:ascii="Arial" w:cs="Arial" w:eastAsia="Arial" w:hAnsi="Arial"/>
          <w:b/>
          <w:bCs/>
          <w:sz w:val="28"/>
          <w:szCs w:val="28"/>
        </w:rPr>
        <w:t xml:space="preserve">5.4 Publicaciones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Canal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Esfuerzo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LinkedIn (perfil Ray + Sinergia)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Posts semanales + artículos largos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Bajo (30 min/post)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Directo a CISOs y architects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Medium / Substack (AI Governance)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Artículos técnicos mensuales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Medio (2h/artículo)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SEO + credibilidad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GitHub (ARHIA open spec)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Repositorio público con spec + README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Ya hecho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Desarrolladores + architects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arXiv (preprint)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Paper técnico formal sobre ARHIA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Alto (2–3 semanas)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Credibilidad académica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YouTube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Demo videos + tutorials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Medio (1 día/video)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Developers + evaluators</w:t>
            </w:r>
          </w:p>
        </w:tc>
      </w:tr>
    </w:tbl>
    <w:p>
      <w:r>
        <w:br w:type="page"/>
      </w:r>
    </w:p>
    <w:p>
      <w:pPr>
        <w:pStyle w:val="Heading1"/>
      </w:pPr>
      <w:r>
        <w:rPr>
          <w:rFonts w:ascii="Arial" w:cs="Arial" w:eastAsia="Arial" w:hAnsi="Arial"/>
          <w:b/>
          <w:bCs/>
          <w:sz w:val="32"/>
          <w:szCs w:val="32"/>
        </w:rPr>
        <w:t xml:space="preserve">6. Modelo de Revenue por Mercado Regulado</w:t>
      </w:r>
    </w:p>
    <w:p>
      <w:pPr>
        <w:spacing w:after="120" w:line="276"/>
      </w:pPr>
      <w:r>
        <w:rPr>
          <w:rFonts w:ascii="Arial" w:cs="Arial" w:eastAsia="Arial" w:hAnsi="Arial"/>
          <w:color w:val="333333"/>
          <w:sz w:val="22"/>
          <w:szCs w:val="22"/>
        </w:rPr>
        <w:t xml:space="preserve">La Ruta C no es una inversión filantrópica — es un pipeline de ventas con un ciclo largo pero de alto valor unitario. Así monetiza:</w:t>
      </w:r>
    </w:p>
    <w:p>
      <w:pPr>
        <w:pStyle w:val="Heading2"/>
      </w:pPr>
      <w:r>
        <w:rPr>
          <w:rFonts w:ascii="Arial" w:cs="Arial" w:eastAsia="Arial" w:hAnsi="Arial"/>
          <w:b/>
          <w:bCs/>
          <w:sz w:val="28"/>
          <w:szCs w:val="28"/>
        </w:rPr>
        <w:t xml:space="preserve">6.1 Líneas de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Línea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Precio Indicativo</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Mercado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Consultoría de Gobernanza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Implementar ARHIA en el sistema multi-agente del cliente. Assessment + diseño + piloto +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$30K–150K por engagement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LATAM, USA, EU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ARHIA-DX Diagnostic Product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Pipeline diagnóstico completo (9 fases) para un área organizacional. Producto estandarizado.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$15K–50K por diagnóstico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Colombia, LATAM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ARHIA Certification / 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Evaluar si el sistema multi-agente de un tercero cumple con el estándar ARHIA. Emitir certificado de conformidad.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$10K–30K por assessment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Global (cuando haya adopción)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Training &amp; Enablement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Capacitar equipos de ingenieros y architects en implementación de ARHIA (programa Agent Engineering de Sinergia).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$5K–15K por cohorte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LATAM, remoto 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LÍDER IA Franchise + ARHIA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Franquiciados de LÍDER IA usan ARHIA como diferenciador técnico ante sus clientes. Royalty por uso del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Incluido en royalty de franquicia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LATAM</w:t>
            </w:r>
          </w:p>
        </w:tc>
      </w:tr>
    </w:tbl>
    <w:p>
      <w:pPr>
        <w:pStyle w:val="Heading2"/>
      </w:pPr>
      <w:r>
        <w:rPr>
          <w:rFonts w:ascii="Arial" w:cs="Arial" w:eastAsia="Arial" w:hAnsi="Arial"/>
          <w:b/>
          <w:bCs/>
          <w:sz w:val="28"/>
          <w:szCs w:val="28"/>
        </w:rPr>
        <w:t xml:space="preserve">6.2 Escenario Conservador (12 meses)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1500"/>
        <w:gridCol w:w="2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Valor Unit.</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ARHIA-DX diagnósticos (Colombia)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6 engagements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$20K avg</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$120K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Consultoría gobernanza (LATAM)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2 engagements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$40K avg</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$80K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Training (Agent Engineering)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4 cohortes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$8K avg</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$32K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Primer contrato internacional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1 engagement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$50K</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USD $50K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TOTAL año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USD $282K</w:t>
            </w:r>
          </w:p>
        </w:tc>
      </w:tr>
    </w:tbl>
    <w:p>
      <w:pPr>
        <w:spacing w:after="80"/>
      </w:pPr>
      <w:r>
        <w:rPr>
          <w:rFonts w:ascii="Arial" w:cs="Arial" w:eastAsia="Arial" w:hAnsi="Arial"/>
          <w:i/>
          <w:iCs/>
          <w:color w:val="666666"/>
          <w:sz w:val="20"/>
          <w:szCs w:val="20"/>
        </w:rPr>
        <w:t xml:space="preserve">Escenario conservador: 0 franquicias LÍDER IA, 0 certificaciones (aún no hay masa crítica), 1 solo contrato internacional. Revenue doméstica de ARHIA-DX + entrenamiento cubre la operación mientras se construye el pipeline internacional.</w:t>
      </w:r>
    </w:p>
    <w:p>
      <w:r>
        <w:br w:type="page"/>
      </w:r>
    </w:p>
    <w:p>
      <w:pPr>
        <w:pStyle w:val="Heading1"/>
      </w:pPr>
      <w:r>
        <w:rPr>
          <w:rFonts w:ascii="Arial" w:cs="Arial" w:eastAsia="Arial" w:hAnsi="Arial"/>
          <w:b/>
          <w:bCs/>
          <w:sz w:val="32"/>
          <w:szCs w:val="32"/>
        </w:rP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800"/>
        <w:gridCol w:w="2500"/>
        <w:gridCol w:w="27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Riesgo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Mitigación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Resultado si no se mitiga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CSA/OWASP no responden o rechazan contribución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Publicar independientemente. Los crosswalks y el whitepaper tienen valor propio sin endorsement de CSA/OWASP. Construir credibilidad bottom-up con case studies.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Más lento pero no fatal.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Un competidor lanza algo similar antes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ARHIA ya está más avanzado que cualquier alternativa pública. Publicar la spec abierta RÁPIDO para establecer prior art. El PI (DNDA + marca) protege.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Si publican antes, Sinergia pierde first-mover claim.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Pilotos fallan o se retrasan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Tener 2–3 candidatos en paralelo (Confía, UniAtlántico, Activa Tu Negocio). Si uno falla, otro avanza. El case study es crítico para credibilidad.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Sin case study, todo es teórico.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Mercados regulados no adoptan frameworks LATAM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Posicionar como “open framework, Colombia-born but globally applicable.” El código y la spec están en inglés. El caso de estudio debe ser en inglés. Nunca posicionar como “solución colombiana” sino como “solución global creada en Colombia.”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18"/>
                <w:szCs w:val="18"/>
              </w:rPr>
              <w:t xml:space="preserve">El pipeline internacional no se materializa.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Ray no tiene bandwidth para ejecutar todo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Priorizar: (1) whitepaper, (2) GitHub, (3) primer piloto. Los LinkedIn posts y conferencias pueden delegarse o posponerse. El bottleneck es el contenido técnico, que es donde Ray tiene ventaja.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8"/>
                <w:szCs w:val="18"/>
              </w:rPr>
              <w:t xml:space="preserve">Ejecución parcial, pipeline más lento.</w:t>
            </w:r>
          </w:p>
        </w:tc>
      </w:tr>
    </w:tbl>
    <w:p>
      <w:r>
        <w:br w:type="page"/>
      </w:r>
    </w:p>
    <w:p>
      <w:pPr>
        <w:pStyle w:val="Heading1"/>
      </w:pPr>
      <w:r>
        <w:rPr>
          <w:rFonts w:ascii="Arial" w:cs="Arial" w:eastAsia="Arial" w:hAnsi="Arial"/>
          <w:b/>
          <w:bCs/>
          <w:sz w:val="32"/>
          <w:szCs w:val="32"/>
        </w:rPr>
        <w:t xml:space="preserve">8. Checklist de Ejecución — 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500"/>
        <w:gridCol w:w="1500"/>
        <w:gridCol w:w="23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Deadline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1</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Redactar ARHIA Whitepaper (EN, 15–20 pp)</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 + Claude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2</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2</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Crear repo GitHub: arhia-framework (spec pública, CC BY 4.0)</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3</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3</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Publicar 3 crosswalk tables como PDFs independientes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 + Claude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4</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4</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Grabar demo video (5 min, EN, demo.py ejecutándose)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5</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5</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Publicar whitepaper en LinkedIn + blog Sinergia</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6</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6</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Enviar contribución a CSA Community Circle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7</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7</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Enviar PR a OWASP GenAI repo o contactar project leaders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7</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8</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Publicar 3 LinkedIn posts (L/M/V semana 2)</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Días 8–12</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9</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Enviar mensajes personalizados a 10–15 contactos target</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Días 9–10</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10</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Iniciar trámite DNDA (derechos de autor ARHIA v11.1)</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10</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11</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Iniciar solicitud marca ARHIA ante SIC</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11</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12</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Formalizar propuesta de piloto con candidato #1</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12</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13</w:t>
            </w:r>
          </w:p>
        </w:tc>
        <w:tc>
          <w:tcPr>
            <w:tcW w:type="dxa" w:w="3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Formalizar propuesta de piloto con candidato #2 (backup)</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Ray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Día 14</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color w:val="333333"/>
                <w:sz w:val="18"/>
                <w:szCs w:val="18"/>
              </w:rPr>
              <w:t xml:space="preserve">Pendiente</w:t>
            </w:r>
          </w:p>
        </w:tc>
      </w:tr>
    </w:tbl>
    <w:p>
      <w:r>
        <w:br w:type="page"/>
      </w:r>
    </w:p>
    <w:p>
      <w:pPr>
        <w:spacing w:before="400"/>
      </w:pPr>
      <w:r>
        <w:rPr>
          <w:rFonts w:ascii="Arial" w:cs="Arial" w:eastAsia="Arial" w:hAnsi="Arial"/>
          <w:i/>
          <w:iCs/>
          <w:color w:val="666666"/>
          <w:sz w:val="20"/>
          <w:szCs w:val="20"/>
        </w:rPr>
        <w:t xml:space="preserve">Fin de la Hoja de Ruta — Ruta C: ARHIA como Implementación de Referencia.</w:t>
      </w:r>
    </w:p>
    <w:p>
      <w:r>
        <w:rPr>
          <w:rFonts w:ascii="Arial" w:cs="Arial" w:eastAsia="Arial" w:hAnsi="Arial"/>
          <w:b/>
          <w:bCs/>
          <w:color w:val="1B3A5C"/>
          <w:sz w:val="22"/>
          <w:szCs w:val="22"/>
        </w:rPr>
        <w:t xml:space="preserve">Las 2 semanas son para cargar las armas. Los 12 meses son para ganar la guerra.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Confidencial | Sinergia Consulting Group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8"/>
      </w:pBdr>
    </w:pPr>
    <w:r>
      <w:rPr>
        <w:rFonts w:ascii="Arial" w:cs="Arial" w:eastAsia="Arial" w:hAnsi="Arial"/>
        <w:color w:val="666666"/>
        <w:sz w:val="16"/>
        <w:szCs w:val="16"/>
      </w:rPr>
      <w:t xml:space="preserve">Hoja de Ruta | Ruta C: ARHIA como Referencia de Industria | Sinergia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2026-03-15T12:25:55.881Z</dcterms:created>
  <dcterms:modified xsi:type="dcterms:W3CDTF">2026-03-15T12:25:55.882Z</dcterms:modified>
</cp:coreProperties>
</file>

<file path=docProps/custom.xml><?xml version="1.0" encoding="utf-8"?>
<Properties xmlns="http://schemas.openxmlformats.org/officeDocument/2006/custom-properties" xmlns:vt="http://schemas.openxmlformats.org/officeDocument/2006/docPropsVTypes"/>
</file>