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sz w:val="32"/>
          <w:szCs w:val="32"/>
        </w:rPr>
        <w:t xml:space="preserve">ARHIA: An Open Governance Standard for Agentic AI in Regulated Industries</w:t>
      </w:r>
    </w:p>
    <w:p>
      <w:pPr>
        <w:spacing w:after="80"/>
        <w:jc w:val="center"/>
      </w:pPr>
      <w:r>
        <w:rPr>
          <w:rFonts w:ascii="Arial" w:cs="Arial" w:eastAsia="Arial" w:hAnsi="Arial"/>
          <w:sz w:val="22"/>
          <w:szCs w:val="22"/>
        </w:rPr>
        <w:t xml:space="preserve">Ray Miller</w:t>
      </w:r>
    </w:p>
    <w:p>
      <w:pPr>
        <w:spacing w:after="80"/>
        <w:jc w:val="center"/>
      </w:pPr>
      <w:r>
        <w:rPr>
          <w:rFonts w:ascii="Arial" w:cs="Arial" w:eastAsia="Arial" w:hAnsi="Arial"/>
          <w:i/>
          <w:iCs/>
          <w:sz w:val="20"/>
          <w:szCs w:val="20"/>
        </w:rPr>
        <w:t xml:space="preserve">Sinergia Consulting Group S.A.S.</w:t>
      </w:r>
    </w:p>
    <w:p>
      <w:pPr>
        <w:spacing w:after="80"/>
        <w:jc w:val="center"/>
      </w:pPr>
      <w:r>
        <w:rPr>
          <w:rFonts w:ascii="Arial" w:cs="Arial" w:eastAsia="Arial" w:hAnsi="Arial"/>
          <w:sz w:val="20"/>
          <w:szCs w:val="20"/>
        </w:rPr>
        <w:t xml:space="preserve">ray.miller@sinergiaconsulting.co</w:t>
      </w:r>
    </w:p>
    <w:p>
      <w:pPr>
        <w:spacing w:after="300"/>
        <w:jc w:val="center"/>
      </w:pPr>
      <w:r>
        <w:rPr>
          <w:rFonts w:ascii="Arial" w:cs="Arial" w:eastAsia="Arial" w:hAnsi="Arial"/>
          <w:sz w:val="20"/>
          <w:szCs w:val="20"/>
        </w:rPr>
        <w:t xml:space="preserve">April 2026</w:t>
      </w:r>
    </w:p>
    <w:p>
      <w:pPr>
        <w:spacing w:after="120"/>
        <w:jc w:val="center"/>
      </w:pPr>
      <w:r>
        <w:rPr>
          <w:rFonts w:ascii="Arial" w:cs="Arial" w:eastAsia="Arial" w:hAnsi="Arial"/>
          <w:b/>
          <w:bCs/>
          <w:sz w:val="24"/>
          <w:szCs w:val="24"/>
        </w:rPr>
        <w:t xml:space="preserve">Abstract</w:t>
      </w:r>
    </w:p>
    <w:p>
      <w:pPr>
        <w:spacing w:after="120" w:line="276"/>
        <w:jc w:val="both"/>
      </w:pPr>
      <w:r>
        <w:t xml:space="preserve">The rapid proliferation of agentic AI systems in regulated industries has created a widening gap between governance frameworks—which specify </w:t>
      </w:r>
      <w:r>
        <w:rPr>
          <w:i/>
          <w:iCs/>
        </w:rPr>
        <w:t xml:space="preserve">what</w:t>
      </w:r>
      <w:r>
        <w:t xml:space="preserve"> controls should exist—and operational reality, where autonomous agents execute consequential actions without per-action authorization, auditable evidence chains, or formal autonomy boundaries. </w:t>
      </w:r>
      <w:r>
        <w:t xml:space="preserve">We formalize this disconnect as the </w:t>
      </w:r>
      <w:r>
        <w:rPr>
          <w:i/>
          <w:iCs/>
        </w:rPr>
        <w:t xml:space="preserve">regulatory instantiation problem</w:t>
      </w:r>
      <w:r>
        <w:t xml:space="preserve">: the challenge of translating abstract governance requirements into executable, verifiable runtime controls. </w:t>
      </w:r>
      <w:r>
        <w:t xml:space="preserve">We present ARHIA (Architecture for Responsible Heterogeneous Intelligent Agents), an open governance standard comprising 14 components organized across three architectural planes (Trust, Control, Execution) with 36 auditable controls. </w:t>
      </w:r>
      <w:r>
        <w:t xml:space="preserve">ARHIA introduces four core mechanisms—a discrete five-level autonomy scale (A0–A4) with formal promotion and degradation gates, a dual-path governance engine providing fail-closed authorization, an AI Bill of Materials (AIBOM) for supply-chain trust verification, and a governed learning loop ensuring behavioral continuity under adaptation—supported by three operational subsystems: an agent identity module, a cross-domain threat correlator, and a structured evidence architecture. </w:t>
      </w:r>
      <w:r>
        <w:t xml:space="preserve">We establish four formal propositions characterizing safety and liveness properties of these mechanisms, three design invariants verified by construction, and two engineering characterizations, collectively providing formal and operational assurance for the architecture. </w:t>
      </w:r>
      <w:r>
        <w:t xml:space="preserve">We demonstrate regulatory instantiation across four sectors (financial services, maritime, aviation, electric grid), with an architecture designed to satisfy 14/14 FINRA/SEC supervisory requirements for agentic AI—compared with 3/14 for the nearest alternative—and present a six-model maturity harmonization mapping ARHIA’s autonomy levels to CSA ATF, NVIDIA, KPMG TACO, McKinsey RAI, Singapore MGF, and ARISE frameworks. </w:t>
      </w:r>
      <w:r>
        <w:t xml:space="preserve">Nine limitations are acknowledged, and an open standard invitation is extended to the research and practitioner communities.</w:t>
      </w:r>
    </w:p>
    <w:p>
      <w:pPr>
        <w:spacing w:after="120" w:line="276"/>
        <w:jc w:val="both"/>
      </w:pPr>
      <w:r>
        <w:rPr>
          <w:b/>
          <w:bCs/>
        </w:rPr>
        <w:t xml:space="preserve">Keywords: </w:t>
      </w:r>
      <w:r>
        <w:t xml:space="preserve">agentic AI governance, autonomous agent safety, policy-as-code, regulatory compliance, multi-agent systems, TRIZ, OPA/Rego, AI risk management</w:t>
      </w:r>
    </w:p>
    <w:p>
      <w:r>
        <w:br w:type="page"/>
      </w:r>
    </w:p>
    <w:p>
      <w:pPr>
        <w:pStyle w:val="Heading1"/>
        <w:spacing w:after="160" w:before="360"/>
      </w:pPr>
      <w:r>
        <w:rPr>
          <w:b/>
          <w:bCs/>
        </w:rPr>
        <w:t xml:space="preserve">1. Introduction</w:t>
      </w:r>
    </w:p>
    <w:p>
      <w:pPr>
        <w:pStyle w:val="Heading2"/>
        <w:spacing w:after="160" w:before="240"/>
      </w:pPr>
      <w:r>
        <w:rPr>
          <w:b/>
          <w:bCs/>
        </w:rPr>
        <w:t xml:space="preserve">1.1 The Governance Gap</w:t>
      </w:r>
    </w:p>
    <w:p>
      <w:pPr>
        <w:spacing w:after="120" w:line="276"/>
        <w:jc w:val="both"/>
      </w:pPr>
      <w:r>
        <w:t xml:space="preserve">Agentic AI systems—autonomous software agents capable of planning, tool invocation, and multi-step execution without continuous human oversight—have transitioned from research prototypes to enterprise deployments at remarkable speed. </w:t>
      </w:r>
      <w:r>
        <w:t xml:space="preserve">Agent deployment surged from 11% of organizations in Q1 2025 to 26% by Q4 2025 [36], while AI copilots are projected to be embedded in approximately 80% of enterprise workplace applications by 2026 [51]. </w:t>
      </w:r>
      <w:r>
        <w:t xml:space="preserve">The agentic AI market is growing at 46.3% CAGR, from $7.84 billion in 2025 to a projected $52.62 billion by 2030. </w:t>
      </w:r>
      <w:r>
        <w:t xml:space="preserve">Yet this deployment velocity has dramatically outpaced governance maturity. </w:t>
      </w:r>
      <w:r>
        <w:t xml:space="preserve">A survey of approximately 500 organizations found the average Responsible AI maturity score at just 2.3 out of 5, with only one-third of organizations achieving maturity level 3 or above in governance and agentic AI controls [37]. </w:t>
      </w:r>
      <w:r>
        <w:t xml:space="preserve">Sixty-five percent of organizational leaders cite agentic system complexity as their top governance barrier, 75% prioritize security, compliance, and auditability as primary concerns, and 80% of organizations report having encountered risky agent behavior [36, 39]. </w:t>
      </w:r>
      <w:r>
        <w:t xml:space="preserve">Gartner predicts that over 40% of agentic AI projects will be cancelled by end of 2027 due to escalating costs or inadequate risk controls [48], while only one in five enterprises has a mature governance model for autonomous AI agents [49].</w:t>
      </w:r>
    </w:p>
    <w:p>
      <w:pPr>
        <w:spacing w:after="120" w:line="276"/>
        <w:jc w:val="both"/>
      </w:pPr>
      <w:r>
        <w:t xml:space="preserve">The consequences are materializing: 51% of firms report AI-related incidents [40], regulators are responding with increased scrutiny (SEC AI Task Force [11], FY2026 examination priorities [12]), and FINRA’s 2026 report [9] introduces “supervisory substitution risk”—the danger that agents effectively replace human oversight without regulatory safeguards. Half of executives plan $10–50M investments in agentic security [36]. Organizations recognize the problem but lack deployable solutions.</w:t>
      </w:r>
    </w:p>
    <w:p>
      <w:pPr>
        <w:pStyle w:val="Heading2"/>
        <w:spacing w:after="160" w:before="240"/>
      </w:pPr>
      <w:r>
        <w:rPr>
          <w:b/>
          <w:bCs/>
        </w:rPr>
        <w:t xml:space="preserve">1.2 The Regulatory Instantiation Problem</w:t>
      </w:r>
    </w:p>
    <w:p>
      <w:pPr>
        <w:spacing w:after="120" w:line="276"/>
        <w:jc w:val="both"/>
      </w:pPr>
      <w:r>
        <w:t xml:space="preserve">The challenge is not the absence of governance frameworks. Between December 2025 and April 2026 alone, at least nine major frameworks have been published: ARISE [32], OWASP Agentic Security Initiative [29], CSA Agentic Trust Framework [28], Singapore Model AI Governance Framework for Agentic AI [30], NIST AI RMF [26] with CSF 2.0 [31], KPMG TACO [35], McKinsey RAI Trust Maturity Model [37], and several academic proposals including Agent Behavioral Contracts (ABC) [1], Agent Control Protocol (ACP) [2], and Governance-as-a-Service (GaaS) [4]. </w:t>
      </w:r>
      <w:r>
        <w:t xml:space="preserve">The challenge is that none of these provides an </w:t>
      </w:r>
      <w:r>
        <w:rPr>
          <w:i/>
          <w:iCs/>
        </w:rPr>
        <w:t xml:space="preserve">executable runtime</w:t>
      </w:r>
      <w:r>
        <w:t xml:space="preserve"> that translates their requirements into per-action authorization, auditable evidence generation, and verifiable autonomy boundaries.</w:t>
      </w:r>
    </w:p>
    <w:p>
      <w:pPr>
        <w:spacing w:after="120" w:line="276"/>
        <w:jc w:val="both"/>
      </w:pPr>
      <w:r>
        <w:t xml:space="preserve">We formalize this disconnect as the </w:t>
      </w:r>
      <w:r>
        <w:rPr>
          <w:b/>
          <w:bCs/>
        </w:rPr>
        <w:t xml:space="preserve">regulatory instantiation problem</w:t>
      </w:r>
      <w:r>
        <w:t xml:space="preserve">: given a governance framework F specifying a set of controls C = {c</w:t>
      </w:r>
      <w:r>
        <w:rPr>
          <w:vertAlign w:val="subscript"/>
        </w:rPr>
        <w:t xml:space="preserve">1</w:t>
      </w:r>
      <w:r>
        <w:t xml:space="preserve">, c</w:t>
      </w:r>
      <w:r>
        <w:rPr>
          <w:vertAlign w:val="subscript"/>
        </w:rPr>
        <w:t xml:space="preserve">2</w:t>
      </w:r>
      <w:r>
        <w:t xml:space="preserve">, …, c</w:t>
      </w:r>
      <w:r>
        <w:rPr>
          <w:vertAlign w:val="subscript"/>
        </w:rPr>
        <w:t xml:space="preserve">n</w:t>
      </w:r>
      <w:r>
        <w:t xml:space="preserve">}, the challenge of constructing an executable system S such that (i) every control c</w:t>
      </w:r>
      <w:r>
        <w:rPr>
          <w:vertAlign w:val="subscript"/>
        </w:rPr>
        <w:t xml:space="preserve">i</w:t>
      </w:r>
      <w:r>
        <w:t xml:space="preserve"> maps to at least one verifiable runtime mechanism in S (</w:t>
      </w:r>
      <w:r>
        <w:rPr>
          <w:i/>
          <w:iCs/>
        </w:rPr>
        <w:t xml:space="preserve">completeness</w:t>
      </w:r>
      <w:r>
        <w:t xml:space="preserve">), (ii) every enforcement action in S produces an auditable evidence record traceable to the triggering control (</w:t>
      </w:r>
      <w:r>
        <w:rPr>
          <w:i/>
          <w:iCs/>
        </w:rPr>
        <w:t xml:space="preserve">traceability</w:t>
      </w:r>
      <w:r>
        <w:t xml:space="preserve">), and (iii) the mapping F → S is formally specified, not merely documented (</w:t>
      </w:r>
      <w:r>
        <w:rPr>
          <w:i/>
          <w:iCs/>
        </w:rPr>
        <w:t xml:space="preserve">formality</w:t>
      </w:r>
      <w:r>
        <w:t xml:space="preserve">). Existing frameworks satisfy none of these three dimensions simultaneously. ARISE [32] defines what controls should exist using a four-question model but provides no runtime. CSA ATF [28] defines maturity levels but not enforcement machinery. AWS AIRI [41] automates assessment but not per-action governance.</w:t>
      </w:r>
    </w:p>
    <w:p>
      <w:pPr>
        <w:pStyle w:val="Heading2"/>
        <w:spacing w:after="160" w:before="240"/>
      </w:pPr>
      <w:r>
        <w:rPr>
          <w:b/>
          <w:bCs/>
        </w:rPr>
        <w:t xml:space="preserve">1.3 Landscape Fragmentation</w:t>
      </w:r>
    </w:p>
    <w:p>
      <w:pPr>
        <w:spacing w:after="120" w:line="276"/>
        <w:jc w:val="both"/>
      </w:pPr>
      <w:r>
        <w:t xml:space="preserve">The current landscape can be organized into five categories: </w:t>
      </w:r>
      <w:r>
        <w:rPr>
          <w:i/>
          <w:iCs/>
        </w:rPr>
        <w:t xml:space="preserve">primitives</w:t>
      </w:r>
      <w:r>
        <w:t xml:space="preserve"> (ABC [1], ACP [2]) that formalize individual governance mechanisms; </w:t>
      </w:r>
      <w:r>
        <w:rPr>
          <w:i/>
          <w:iCs/>
        </w:rPr>
        <w:t xml:space="preserve">architectures</w:t>
      </w:r>
      <w:r>
        <w:t xml:space="preserve"> (GaaS [4], Omega [6]) that propose system-level designs; </w:t>
      </w:r>
      <w:r>
        <w:rPr>
          <w:i/>
          <w:iCs/>
        </w:rPr>
        <w:t xml:space="preserve">concepts</w:t>
      </w:r>
      <w:r>
        <w:t xml:space="preserve"> (The Agentic Regulator [7], KPMG TACO [35]) that articulate organizational models; </w:t>
      </w:r>
      <w:r>
        <w:rPr>
          <w:i/>
          <w:iCs/>
        </w:rPr>
        <w:t xml:space="preserve">assessment tools</w:t>
      </w:r>
      <w:r>
        <w:t xml:space="preserve"> (ARISE [32], AWS AIRI [41]) that evaluate compliance posture; and </w:t>
      </w:r>
      <w:r>
        <w:rPr>
          <w:i/>
          <w:iCs/>
        </w:rPr>
        <w:t xml:space="preserve">standards</w:t>
      </w:r>
      <w:r>
        <w:t xml:space="preserve"> (CSA ATF [28], OWASP ASI [29], Singapore MGF [30]) that specify control requirements. </w:t>
      </w:r>
      <w:r>
        <w:t xml:space="preserve">What is missing is the </w:t>
      </w:r>
      <w:r>
        <w:rPr>
          <w:i/>
          <w:iCs/>
        </w:rPr>
        <w:t xml:space="preserve">instantiation</w:t>
      </w:r>
      <w:r>
        <w:t xml:space="preserve"> layer—a system that operationalizes all of the above into a deployable governance runtime with formal properties. This is the gap ARHIA addresses.</w:t>
      </w:r>
    </w:p>
    <w:p>
      <w:pPr>
        <w:spacing w:after="120" w:line="276"/>
        <w:jc w:val="both"/>
      </w:pPr>
      <w:r>
        <w:t xml:space="preserve">The fragmentation is informative: nine or more frameworks in six months indicates consensus that governance is necessary, but no convergence on operationalization. Standards bodies specify requirements without implementation; academic proposals formalize primitives without integration; industry frameworks provide guidance without architecture; assessment tools evaluate posture without enforcement. McKinsey’s observation that organizations need “risk-based triage, enforcement proof, and automated evidence” [39] articulates precisely the regulatory instantiation problem.</w:t>
      </w:r>
    </w:p>
    <w:p>
      <w:pPr>
        <w:pStyle w:val="Heading2"/>
        <w:spacing w:after="160" w:before="240"/>
      </w:pPr>
      <w:r>
        <w:rPr>
          <w:b/>
          <w:bCs/>
        </w:rPr>
        <w:t xml:space="preserve">1.4 Contributions</w:t>
      </w:r>
    </w:p>
    <w:p>
      <w:pPr>
        <w:spacing w:after="120" w:line="276"/>
        <w:jc w:val="both"/>
      </w:pPr>
      <w:r>
        <w:t xml:space="preserve">This paper makes the following contributions:</w:t>
      </w:r>
    </w:p>
    <w:p>
      <w:pPr>
        <w:spacing w:after="80" w:line="276"/>
        <w:ind w:left="360" w:hanging="360"/>
        <w:jc w:val="both"/>
      </w:pPr>
      <w:r>
        <w:t xml:space="preserve">C1. </w:t>
      </w:r>
      <w:r>
        <w:t xml:space="preserve">We formalize the </w:t>
      </w:r>
      <w:r>
        <w:rPr>
          <w:i/>
          <w:iCs/>
        </w:rPr>
        <w:t xml:space="preserve">regulatory instantiation problem</w:t>
      </w:r>
      <w:r>
        <w:t xml:space="preserve"> as a three-dimensional mapping challenge (completeness, traceability, formality) and demonstrate that no existing framework satisfies all three dimensions.</w:t>
      </w:r>
    </w:p>
    <w:p>
      <w:pPr>
        <w:spacing w:after="80" w:line="276"/>
        <w:ind w:left="360" w:hanging="360"/>
        <w:jc w:val="both"/>
      </w:pPr>
      <w:r>
        <w:t xml:space="preserve">C2. </w:t>
      </w:r>
      <w:r>
        <w:t xml:space="preserve">We present the ARHIA architecture: 14 components organized into three planes (Trust, Control, Execution) with 36 auditable controls, instantiated through 19 OPA/Rego policy bundles comprising approximately 2,037 lines of executable policy.</w:t>
      </w:r>
    </w:p>
    <w:p>
      <w:pPr>
        <w:spacing w:after="80" w:line="276"/>
        <w:ind w:left="360" w:hanging="360"/>
        <w:jc w:val="both"/>
      </w:pPr>
      <w:r>
        <w:t xml:space="preserve">C3. </w:t>
      </w:r>
      <w:r>
        <w:t xml:space="preserve">We establish four formal propositions (false degradation bound, promotion safety, intrinsic drift invariance, bounded drift invariance under adaptation), three design invariants verified by construction (fail-closed safety, AIBOM consistency, rollback safety), and two engineering characterizations (throughput estimate, decorrelation design principle).</w:t>
      </w:r>
    </w:p>
    <w:p>
      <w:pPr>
        <w:spacing w:after="80" w:line="276"/>
        <w:ind w:left="360" w:hanging="360"/>
        <w:jc w:val="both"/>
      </w:pPr>
      <w:r>
        <w:t xml:space="preserve">C4. </w:t>
      </w:r>
      <w:r>
        <w:t xml:space="preserve">We present an architecture designed to satisfy 14/14 FINRA/SEC supervisory requirements for agentic AI in financial services—compared with 3/14 for ABC, 2/14 for ACP, and 3/14 for GaaS. This mapping reflects architectural design intent; regulatory validation remains future work.</w:t>
      </w:r>
    </w:p>
    <w:p>
      <w:pPr>
        <w:spacing w:after="80" w:line="276"/>
        <w:ind w:left="360" w:hanging="360"/>
        <w:jc w:val="both"/>
      </w:pPr>
      <w:r>
        <w:t xml:space="preserve">C5. </w:t>
      </w:r>
      <w:r>
        <w:t xml:space="preserve">We generalize the architecture across four regulated sectors (financial services, maritime, aviation, electric grid), identifying cross-sector regulatory invariants.</w:t>
      </w:r>
    </w:p>
    <w:p>
      <w:pPr>
        <w:spacing w:after="80" w:line="276"/>
        <w:ind w:left="360" w:hanging="360"/>
        <w:jc w:val="both"/>
      </w:pPr>
      <w:r>
        <w:t xml:space="preserve">C6. </w:t>
      </w:r>
      <w:r>
        <w:t xml:space="preserve">We present a six-model maturity harmonization mapping ARHIA’s A0–A4 autonomy scale to CSA ATF, NVIDIA, KPMG TACO, McKinsey RAI, Singapore MGF, and ARISE frameworks.</w:t>
      </w:r>
    </w:p>
    <w:p>
      <w:pPr>
        <w:spacing w:after="80" w:line="276"/>
        <w:ind w:left="360" w:hanging="360"/>
        <w:jc w:val="both"/>
      </w:pPr>
      <w:r>
        <w:t xml:space="preserve">C7. </w:t>
      </w:r>
      <w:r>
        <w:t xml:space="preserve">We acknowledge nine technical limitations with severity ratings and research directions—including three interconnected challenges to the OU drift model (L1, L2, L9)—maintaining scientific honesty about the current maturity of the proposed architecture.</w:t>
      </w:r>
    </w:p>
    <w:p>
      <w:pPr>
        <w:pStyle w:val="Heading1"/>
        <w:spacing w:after="160" w:before="360"/>
      </w:pPr>
      <w:r>
        <w:rPr>
          <w:b/>
          <w:bCs/>
        </w:rPr>
        <w:t xml:space="preserve">2. Related Work</w:t>
      </w:r>
    </w:p>
    <w:p>
      <w:pPr>
        <w:spacing w:after="120" w:line="276"/>
        <w:jc w:val="both"/>
      </w:pPr>
      <w:r>
        <w:t xml:space="preserve">We organize related work along the five categories introduced in Section 1.3, highlighting for each the specific overlap with and differentiation from ARHIA.</w:t>
      </w:r>
    </w:p>
    <w:p>
      <w:pPr>
        <w:pStyle w:val="Heading2"/>
        <w:spacing w:after="160" w:before="240"/>
      </w:pPr>
      <w:r>
        <w:rPr>
          <w:b/>
          <w:bCs/>
        </w:rPr>
        <w:t xml:space="preserve">2.1 Governance Primitives</w:t>
      </w:r>
    </w:p>
    <w:p>
      <w:pPr>
        <w:spacing w:after="120" w:line="276"/>
        <w:jc w:val="both"/>
      </w:pPr>
      <w:r>
        <w:rPr>
          <w:b/>
          <w:bCs/>
        </w:rPr>
        <w:t xml:space="preserve">Agent Behavioral Contracts (ABC)</w:t>
      </w:r>
      <w:r>
        <w:t xml:space="preserve"> [1] formalize the compositionality of behavioral guarantees through drift bounds modeled as Ornstein-Uhlenbeck processes, establishing that chain reliability p</w:t>
      </w:r>
      <w:r>
        <w:rPr>
          <w:vertAlign w:val="subscript"/>
        </w:rPr>
        <w:t xml:space="preserve">chain</w:t>
      </w:r>
      <w:r>
        <w:t xml:space="preserve"> ≥ ∏ p</w:t>
      </w:r>
      <w:r>
        <w:rPr>
          <w:vertAlign w:val="subscript"/>
        </w:rPr>
        <w:t xml:space="preserve">i</w:t>
      </w:r>
      <w:r>
        <w:t xml:space="preserve"> · ∏ φ</w:t>
      </w:r>
      <w:r>
        <w:rPr>
          <w:vertAlign w:val="subscript"/>
        </w:rPr>
        <w:t xml:space="preserve">i</w:t>
      </w:r>
      <w:r>
        <w:t xml:space="preserve"> and cumulative drift δ</w:t>
      </w:r>
      <w:r>
        <w:rPr>
          <w:vertAlign w:val="subscript"/>
        </w:rPr>
        <w:t xml:space="preserve">chain</w:t>
      </w:r>
      <w:r>
        <w:t xml:space="preserve"> ≤ Σ δ</w:t>
      </w:r>
      <w:r>
        <w:rPr>
          <w:vertAlign w:val="subscript"/>
        </w:rPr>
        <w:t xml:space="preserve">i</w:t>
      </w:r>
      <w:r>
        <w:t xml:space="preserve"> + Σ δ</w:t>
      </w:r>
      <w:r>
        <w:rPr>
          <w:vertAlign w:val="subscript"/>
        </w:rPr>
        <w:t xml:space="preserve">hi</w:t>
      </w:r>
      <w:r>
        <w:t xml:space="preserve"> (Theorems 4.3, 4.11 in [1]). ARHIA builds upon ABC’s drift formalism for its autonomy scale (Section 3.3) and extends it with operational mechanisms—specifically, the promotion gate protocol, automatic degradation, and the evidence generation architecture—that ABC does not address.</w:t>
      </w:r>
    </w:p>
    <w:p>
      <w:pPr>
        <w:spacing w:after="120" w:line="276"/>
        <w:jc w:val="both"/>
      </w:pPr>
      <w:r>
        <w:rPr>
          <w:b/>
          <w:bCs/>
        </w:rPr>
        <w:t xml:space="preserve">Agent Control Protocol (ACP)</w:t>
      </w:r>
      <w:r>
        <w:t xml:space="preserve"> [2] introduces cryptographic per-action authorization with capability scope and delegation chains, conceptually similar to ARHIA’s Agent Trust Kernel capability tokens. ACP is authorization-only; ARHIA extends the authorization primitive with a full governance lifecycle including behavioral baselines, supply-chain trust (AIBOM), and governed learning.</w:t>
      </w:r>
    </w:p>
    <w:p>
      <w:pPr>
        <w:spacing w:after="120" w:line="276"/>
        <w:jc w:val="both"/>
      </w:pPr>
      <w:r>
        <w:rPr>
          <w:b/>
          <w:bCs/>
        </w:rPr>
        <w:t xml:space="preserve">Policies on Paths</w:t>
      </w:r>
      <w:r>
        <w:t xml:space="preserve"> [3] formalizes compliance as a function over execution paths, conceptually aligned with ARHIA’s policy-per-action model. However, it remains theoretical: no executable substrate is specified. ARHIA instantiates the policy-on-path concept through OPA/Rego, providing a concrete, testable implementation. </w:t>
      </w:r>
      <w:r>
        <w:rPr>
          <w:b/>
          <w:bCs/>
        </w:rPr>
        <w:t xml:space="preserve">AFMM</w:t>
      </w:r>
      <w:r>
        <w:t xml:space="preserve"> [8] proposes an agentic model specifically for financial markets, demonstrating domain-specific governance needs that reinforce the argument for sector-specific policy bundles operating within a common governance architecture.</w:t>
      </w:r>
    </w:p>
    <w:p>
      <w:pPr>
        <w:pStyle w:val="Heading2"/>
        <w:spacing w:after="160" w:before="240"/>
      </w:pPr>
      <w:r>
        <w:rPr>
          <w:b/>
          <w:bCs/>
        </w:rPr>
        <w:t xml:space="preserve">2.2 Governance Architectures</w:t>
      </w:r>
    </w:p>
    <w:p>
      <w:pPr>
        <w:spacing w:after="120" w:line="276"/>
        <w:jc w:val="both"/>
      </w:pPr>
      <w:r>
        <w:rPr>
          <w:b/>
          <w:bCs/>
        </w:rPr>
        <w:t xml:space="preserve">Governance-as-a-Service (GaaS)</w:t>
      </w:r>
      <w:r>
        <w:t xml:space="preserve"> [4] proposes a Trust Factor with graduated enforcement, overlapping conceptually with ARHIA’s A0–A4 autonomy scale. GaaS uses a continuous reactive score; ARHIA uses discrete levels with formal promotion gates and automatic degradation—a design choice derived from the TRIZ analysis (Section 3.2) that trades granularity for auditability. </w:t>
      </w:r>
      <w:r>
        <w:rPr>
          <w:b/>
          <w:bCs/>
        </w:rPr>
        <w:t xml:space="preserve">Omega</w:t>
      </w:r>
      <w:r>
        <w:t xml:space="preserve"> [6] proposes a trusted agent platform with runtime verification, sharing ARHIA’s architectural ambition but lacking the regulatory mapping and policy-as-code substrate. </w:t>
      </w:r>
      <w:r>
        <w:rPr>
          <w:b/>
          <w:bCs/>
        </w:rPr>
        <w:t xml:space="preserve">Aegis</w:t>
      </w:r>
      <w:r>
        <w:t xml:space="preserve"> [5] introduces cryptographic runtime governance, complementary to ARHIA’s evidence chain but focused on tamper-resistance rather than regulatory compliance.</w:t>
      </w:r>
    </w:p>
    <w:p>
      <w:pPr>
        <w:pStyle w:val="Heading2"/>
        <w:spacing w:after="160" w:before="240"/>
      </w:pPr>
      <w:r>
        <w:rPr>
          <w:b/>
          <w:bCs/>
        </w:rPr>
        <w:t xml:space="preserve">2.3 Standards and Assessment Frameworks</w:t>
      </w:r>
    </w:p>
    <w:p>
      <w:pPr>
        <w:spacing w:after="120" w:line="276"/>
        <w:jc w:val="both"/>
      </w:pPr>
      <w:r>
        <w:t xml:space="preserve">The standards landscape has matured rapidly. </w:t>
      </w:r>
      <w:r>
        <w:rPr>
          <w:b/>
          <w:bCs/>
        </w:rPr>
        <w:t xml:space="preserve">CSA ATF</w:t>
      </w:r>
      <w:r>
        <w:t xml:space="preserve"> [28] defines five maturity levels (Intern through Principal) for agentic trust, which ARHIA harmonizes into its A0–A4 scale (Section 4.4). </w:t>
      </w:r>
      <w:r>
        <w:rPr>
          <w:b/>
          <w:bCs/>
        </w:rPr>
        <w:t xml:space="preserve">OWASP ASI</w:t>
      </w:r>
      <w:r>
        <w:t xml:space="preserve"> [29] enumerates ten agentic security risks; ARHIA’s Incident Playbook Mapper provides structured response procedures for all ten. </w:t>
      </w:r>
      <w:r>
        <w:rPr>
          <w:b/>
          <w:bCs/>
        </w:rPr>
        <w:t xml:space="preserve">Singapore MGF for Agentic AI</w:t>
      </w:r>
      <w:r>
        <w:t xml:space="preserve"> [30] articulates four governance dimensions that map directly to ARHIA’s three-plane architecture. </w:t>
      </w:r>
      <w:r>
        <w:rPr>
          <w:b/>
          <w:bCs/>
        </w:rPr>
        <w:t xml:space="preserve">ARISE</w:t>
      </w:r>
      <w:r>
        <w:t xml:space="preserve"> [32] defines seven control domains using a four-question model (what is implemented, who is responsible, what evidence, how often validated); ARHIA achieves 100% coverage across all seven domains through its Control Registry. </w:t>
      </w:r>
      <w:r>
        <w:rPr>
          <w:b/>
          <w:bCs/>
        </w:rPr>
        <w:t xml:space="preserve">AWS AIRI</w:t>
      </w:r>
      <w:r>
        <w:t xml:space="preserve"> [41] automates governance assessment using semantic entropy for reliability measurement, but operates as an audit tool rather than a runtime enforcement mechanism. </w:t>
      </w:r>
      <w:r>
        <w:rPr>
          <w:b/>
          <w:bCs/>
        </w:rPr>
        <w:t xml:space="preserve">NIST AI RMF</w:t>
      </w:r>
      <w:r>
        <w:t xml:space="preserve"> [26] with </w:t>
      </w:r>
      <w:r>
        <w:rPr>
          <w:b/>
          <w:bCs/>
        </w:rPr>
        <w:t xml:space="preserve">CSF 2.0</w:t>
      </w:r>
      <w:r>
        <w:t xml:space="preserve"> [31] provides the foundational risk management vocabulary upon which ARHIA’s crosswalk methodology is built.</w:t>
      </w:r>
    </w:p>
    <w:p>
      <w:pPr>
        <w:pStyle w:val="Heading2"/>
        <w:spacing w:after="160" w:before="240"/>
      </w:pPr>
      <w:r>
        <w:rPr>
          <w:b/>
          <w:bCs/>
        </w:rPr>
        <w:t xml:space="preserve">2.4 Industry Frameworks</w:t>
      </w:r>
    </w:p>
    <w:p>
      <w:pPr>
        <w:spacing w:after="120" w:line="276"/>
        <w:jc w:val="both"/>
      </w:pPr>
      <w:r>
        <w:rPr>
          <w:b/>
          <w:bCs/>
        </w:rPr>
        <w:t xml:space="preserve">KPMG TACO</w:t>
      </w:r>
      <w:r>
        <w:t xml:space="preserve"> [35] classifies agents into four types (Taskers, Automators, Collaborators, Orchestrators), providing an organizational taxonomy that complements ARHIA’s technical autonomy scale. </w:t>
      </w:r>
      <w:r>
        <w:rPr>
          <w:b/>
          <w:bCs/>
        </w:rPr>
        <w:t xml:space="preserve">McKinsey RAI Trust Maturity Model</w:t>
      </w:r>
      <w:r>
        <w:t xml:space="preserve"> [37] introduces five maturity dimensions; ARHIA harmonizes McKinsey’s five levels into the unified A0–A4 scale. </w:t>
      </w:r>
      <w:r>
        <w:t xml:space="preserve">McKinsey’s observation that “the best guardrails are the ones you cannot bypass” [39] captures the architectural principle behind ARHIA’s fail-closed dual-path design (Invariant 3.4.4).</w:t>
      </w:r>
    </w:p>
    <w:p>
      <w:pPr>
        <w:pStyle w:val="Heading2"/>
        <w:spacing w:after="160" w:before="240"/>
      </w:pPr>
      <w:r>
        <w:rPr>
          <w:b/>
          <w:bCs/>
        </w:rPr>
        <w:t xml:space="preserve">2.5 Positioning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1400"/>
        <w:gridCol w:w="1400"/>
      </w:tblGrid>
      <w:tr>
        <w:tc>
          <w:tcPr>
            <w:tcW w:type="dxa" w:w="16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Category</w:t>
            </w:r>
          </w:p>
        </w:tc>
        <w:tc>
          <w:tcPr>
            <w:tcW w:type="dxa" w:w="2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Representatives</w:t>
            </w:r>
          </w:p>
        </w:tc>
        <w:tc>
          <w:tcPr>
            <w:tcW w:type="dxa" w:w="1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Provides Runtime?</w:t>
            </w:r>
          </w:p>
        </w:tc>
        <w:tc>
          <w:tcPr>
            <w:tcW w:type="dxa" w:w="1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Policy-as-Code?</w:t>
            </w:r>
          </w:p>
        </w:tc>
        <w:tc>
          <w:tcPr>
            <w:tcW w:type="dxa" w:w="1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Multi-Sector?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Primitives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ABC [1], ACP [2]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Architectures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GaaS [4], Omega [6]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Partial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Concepts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Agentic Regulator [7], KPMG TACO [35]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Partial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Assessment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ARISE [32], AWS AIRI [41]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Yes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Standards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CSA ATF [28], OWASP ASI [29], SGP MGF [30]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Partial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Instantiation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ARHIA (this paper)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Yes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Yes (OPA/Rego)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Yes (4 sectors)</w:t>
            </w:r>
          </w:p>
        </w:tc>
      </w:tr>
    </w:tbl>
    <w:p>
      <w:pPr>
        <w:spacing w:after="200" w:before="80"/>
        <w:jc w:val="both"/>
      </w:pPr>
      <w:r>
        <w:rPr>
          <w:i/>
          <w:iCs/>
        </w:rPr>
        <w:t xml:space="preserve">Table 1.</w:t>
      </w:r>
      <w:r>
        <w:t xml:space="preserve"> Positioning of ARHIA relative to existing frameworks. ARHIA occupies the instantiation category—providing the executable governance runtime that translates standards and assessments into per-action enforcement.</w:t>
      </w:r>
    </w:p>
    <w:p>
      <w:pPr>
        <w:pStyle w:val="Heading1"/>
        <w:spacing w:after="160" w:before="360"/>
      </w:pPr>
      <w:r>
        <w:rPr>
          <w:b/>
          <w:bCs/>
        </w:rPr>
        <w:t xml:space="preserve">3. The ARHIA Architecture</w:t>
      </w:r>
    </w:p>
    <w:p>
      <w:pPr>
        <w:spacing w:after="120" w:line="276"/>
        <w:jc w:val="both"/>
      </w:pPr>
      <w:r>
        <w:rPr>
          <w:b/>
          <w:bCs/>
        </w:rPr>
        <w:t xml:space="preserve">Notation.</w:t>
      </w:r>
      <w:r>
        <w:t xml:space="preserve"> Let D(t) denote the behavioral drift at time t, operationally defined as the symmetrized KL divergence between the agent’s current action distribution p</w:t>
      </w:r>
      <w:r>
        <w:rPr>
          <w:vertAlign w:val="subscript"/>
        </w:rPr>
        <w:t xml:space="preserve">t</w:t>
      </w:r>
      <w:r>
        <w:t xml:space="preserve"> and its deployment baseline p</w:t>
      </w:r>
      <w:r>
        <w:rPr>
          <w:vertAlign w:val="subscript"/>
        </w:rPr>
        <w:t xml:space="preserve">0</w:t>
      </w:r>
      <w:r>
        <w:t xml:space="preserve">: D(t) = ½[D</w:t>
      </w:r>
      <w:r>
        <w:rPr>
          <w:vertAlign w:val="subscript"/>
        </w:rPr>
        <w:t xml:space="preserve">KL</w:t>
      </w:r>
      <w:r>
        <w:t xml:space="preserve">(p</w:t>
      </w:r>
      <w:r>
        <w:rPr>
          <w:vertAlign w:val="subscript"/>
        </w:rPr>
        <w:t xml:space="preserve">t</w:t>
      </w:r>
      <w:r>
        <w:t xml:space="preserve"> ∥ p</w:t>
      </w:r>
      <w:r>
        <w:rPr>
          <w:vertAlign w:val="subscript"/>
        </w:rPr>
        <w:t xml:space="preserve">0</w:t>
      </w:r>
      <w:r>
        <w:t xml:space="preserve">) + D</w:t>
      </w:r>
      <w:r>
        <w:rPr>
          <w:vertAlign w:val="subscript"/>
        </w:rPr>
        <w:t xml:space="preserve">KL</w:t>
      </w:r>
      <w:r>
        <w:t xml:space="preserve">(p</w:t>
      </w:r>
      <w:r>
        <w:rPr>
          <w:vertAlign w:val="subscript"/>
        </w:rPr>
        <w:t xml:space="preserve">0</w:t>
      </w:r>
      <w:r>
        <w:t xml:space="preserve"> ∥ p</w:t>
      </w:r>
      <w:r>
        <w:rPr>
          <w:vertAlign w:val="subscript"/>
        </w:rPr>
        <w:t xml:space="preserve">t</w:t>
      </w:r>
      <w:r>
        <w:t xml:space="preserve">)]. Following ABC [1], D(t) is modeled as an Ornstein-Uhlenbeck (OU) process with mean-reversion rate γ &gt; 0 [time</w:t>
      </w:r>
      <w:r>
        <w:rPr>
          <w:vertAlign w:val="superscript"/>
        </w:rPr>
        <w:t xml:space="preserve">−1</w:t>
      </w:r>
      <w:r>
        <w:t xml:space="preserve">], long-run mean α/γ, and volatility σ &gt; 0 [time</w:t>
      </w:r>
      <w:r>
        <w:rPr>
          <w:vertAlign w:val="superscript"/>
        </w:rPr>
        <w:t xml:space="preserve">−½</w:t>
      </w:r>
      <w:r>
        <w:t xml:space="preserve">]; the stationary distribution is D(t) ~ N(α/γ, σ²/2γ). For each level A</w:t>
      </w:r>
      <w:r>
        <w:rPr>
          <w:vertAlign w:val="subscript"/>
        </w:rPr>
        <w:t xml:space="preserve">n</w:t>
      </w:r>
      <w:r>
        <w:t xml:space="preserve">: θ</w:t>
      </w:r>
      <w:r>
        <w:rPr>
          <w:vertAlign w:val="subscript"/>
        </w:rPr>
        <w:t xml:space="preserve">n</w:t>
      </w:r>
      <w:r>
        <w:t xml:space="preserve"> is the drift threshold, w</w:t>
      </w:r>
      <w:r>
        <w:rPr>
          <w:vertAlign w:val="subscript"/>
        </w:rPr>
        <w:t xml:space="preserve">n</w:t>
      </w:r>
      <w:r>
        <w:t xml:space="preserve"> [time] the observation window, u</w:t>
      </w:r>
      <w:r>
        <w:rPr>
          <w:vertAlign w:val="subscript"/>
        </w:rPr>
        <w:t xml:space="preserve">n</w:t>
      </w:r>
      <w:r>
        <w:t xml:space="preserve"> = (θ</w:t>
      </w:r>
      <w:r>
        <w:rPr>
          <w:vertAlign w:val="subscript"/>
        </w:rPr>
        <w:t xml:space="preserve">n</w:t>
      </w:r>
      <w:r>
        <w:t xml:space="preserve"> − α/γ)/(σ/√(2γ)) the normalized threshold (z-score), and P</w:t>
      </w:r>
      <w:r>
        <w:rPr>
          <w:vertAlign w:val="subscript"/>
        </w:rPr>
        <w:t xml:space="preserve">n</w:t>
      </w:r>
      <w:r>
        <w:t xml:space="preserve"> ⊆ ℘(Actions) the permitted action set.</w:t>
      </w:r>
    </w:p>
    <w:p>
      <w:pPr>
        <w:spacing w:after="120" w:line="276"/>
        <w:jc w:val="both"/>
      </w:pPr>
      <w:r>
        <w:rPr>
          <w:i/>
          <w:iCs/>
        </w:rPr>
        <w:t xml:space="preserve">Domain compatibility and modeling caveats.</w:t>
      </w:r>
      <w:r>
        <w:t xml:space="preserve"> The symmetrized KL divergence is non-negative (D(t) ≥ 0), but the OU stationary distribution N(α/γ, σ²/2γ) has full real-line support—assigning nonzero mass to D &lt; 0. This approximation is valid when α/γ ≥ 3σ/√(2γ), ensuring P(D &lt; 0) &lt; 0.0013. The rigorous alternative is a Cox-Ingersoll-Ross (CIR) process guaranteeing D(t) ≥ 0 under the Feller condition, but at the cost of closed-form results from ABC [1]. Additionally, the OU model assumes continuous sample paths; LLM behavior exhibits discontinuous jumps (prompt injection, model updates) better captured by jump-diffusion models. All formal results are conditional on the OU approximation; see Limitations L1–L2, L9 in Section 6.2 and the research program in Section 7.</w:t>
      </w:r>
    </w:p>
    <w:p>
      <w:pPr>
        <w:spacing w:after="120" w:line="276"/>
        <w:jc w:val="both"/>
      </w:pPr>
      <w:r>
        <w:rPr>
          <w:i/>
          <w:iCs/>
        </w:rPr>
        <w:t xml:space="preserve">Numbering convention.</w:t>
      </w:r>
      <w:r>
        <w:t xml:space="preserve"> Definitions, propositions, and remarks are numbered within their subsection per the ARHIA v11.4 specification.</w:t>
      </w:r>
    </w:p>
    <w:p>
      <w:pPr>
        <w:pStyle w:val="Heading2"/>
        <w:spacing w:after="160" w:before="240"/>
      </w:pPr>
      <w:r>
        <w:rPr>
          <w:b/>
          <w:bCs/>
        </w:rPr>
        <w:t xml:space="preserve">3.1 Overview</w:t>
      </w:r>
    </w:p>
    <w:p>
      <w:pPr>
        <w:spacing w:after="120" w:line="276"/>
        <w:jc w:val="both"/>
      </w:pPr>
      <w:r>
        <w:t xml:space="preserve">ARHIA organizes governance into three architectural planes. The </w:t>
      </w:r>
      <w:r>
        <w:rPr>
          <w:b/>
          <w:bCs/>
        </w:rPr>
        <w:t xml:space="preserve">Trust Plane</w:t>
      </w:r>
      <w:r>
        <w:t xml:space="preserve"> establishes identity, provenance, and behavioral expectations through four components: the Agent Identity Module (AIM), the AI Bill of Materials (AIBOM), the Behavioral Baseline Registry (BBR), and the HMAC-signed Evidence Ledger. The </w:t>
      </w:r>
      <w:r>
        <w:rPr>
          <w:b/>
          <w:bCs/>
        </w:rPr>
        <w:t xml:space="preserve">Control Plane</w:t>
      </w:r>
      <w:r>
        <w:t xml:space="preserve"> enforces per-action authorization and monitors behavioral drift through five components: the Agent Trust Kernel (ATK), the OPA/Rego Policy Engine, the Defensive Tool Call Graph (D-TCG+), the Incident Playbook Mapper (IPM), and the Multi-Framework Crosswalk Engine (MFCE). The </w:t>
      </w:r>
      <w:r>
        <w:rPr>
          <w:b/>
          <w:bCs/>
        </w:rPr>
        <w:t xml:space="preserve">Execution Plane</w:t>
      </w:r>
      <w:r>
        <w:t xml:space="preserve"> manages agent lifecycle through five components: the A0–A4 Autonomy Scale, the Governed Learning Loop (GLL), the Dual-Path Governance Engine, the Evidence Generation Architecture (EGA), and the Control Registry (CR). Together these 14 components expose 36 auditable controls, each answering the four-question model from ARISE [32]: what is implemented, who is responsible, what evidence is produced, and how often validation occurs.</w:t>
      </w:r>
    </w:p>
    <w:p>
      <w:pPr>
        <w:spacing w:after="120" w:line="276"/>
        <w:jc w:val="both"/>
      </w:pPr>
      <w:r>
        <w:t xml:space="preserve">The architecture is instantiated through 19 OPA/Rego policy bundles (~2,037 lines of executable policy). Policy bundles are sector-specific; the core architecture remains invariant across domains. A critical structural invariant: Trust Plane components are immutable—agent identities, baselines, and evidence records cannot be modified by Control or Execution Plane operations, ensuring agents cannot influence their own supervisory parameters [9]. Every ATK evaluation produces a structured evidence record (envelope inputs, policy rules, decision, evidence hash), enabling full reconstruction of any governance decision per SEC Rule 17a-4 [16].</w:t>
      </w:r>
    </w:p>
    <w:p>
      <w:pPr>
        <w:pStyle w:val="Heading2"/>
        <w:spacing w:after="160" w:before="240"/>
      </w:pPr>
      <w:r>
        <w:rPr>
          <w:b/>
          <w:bCs/>
        </w:rPr>
        <w:t xml:space="preserve">3.2 Design Rationale: TRIZ Analysis</w:t>
      </w:r>
    </w:p>
    <w:p>
      <w:pPr>
        <w:spacing w:after="120" w:line="276"/>
        <w:jc w:val="both"/>
      </w:pPr>
      <w:r>
        <w:t xml:space="preserve">ARHIA’s architecture addresses the fundamental contradiction in agentic AI governance: increasing autonomy degrades compliance assurance. Applied as a validation lens [44], the Altshuller Contradiction Matrix identifies four resolution principles that map to ARHIA’s core mechanisms: </w:t>
      </w:r>
      <w:r>
        <w:rPr>
          <w:b/>
          <w:bCs/>
        </w:rPr>
        <w:t xml:space="preserve">Segmentation</w:t>
      </w:r>
      <w:r>
        <w:t xml:space="preserve"> → discrete A0–A4 autonomy levels; </w:t>
      </w:r>
      <w:r>
        <w:rPr>
          <w:b/>
          <w:bCs/>
        </w:rPr>
        <w:t xml:space="preserve">Separation in Space</w:t>
      </w:r>
      <w:r>
        <w:t xml:space="preserve"> → dual-path governance (evaluation decoupled from execution); </w:t>
      </w:r>
      <w:r>
        <w:rPr>
          <w:b/>
          <w:bCs/>
        </w:rPr>
        <w:t xml:space="preserve">Prior Action</w:t>
      </w:r>
      <w:r>
        <w:t xml:space="preserve"> → ATK pre-evaluation before execution; </w:t>
      </w:r>
      <w:r>
        <w:rPr>
          <w:b/>
          <w:bCs/>
        </w:rPr>
        <w:t xml:space="preserve">Separation in Time</w:t>
      </w:r>
      <w:r>
        <w:t xml:space="preserve"> → asynchronous evidence collection (EGA). </w:t>
      </w:r>
      <w:r>
        <w:t xml:space="preserve">The resulting Ideal Final Result: governance overhead approaches zero as agent trust increases—A4 agents face minimal friction, A0 agents face maximum constraint. The architecture resolves the autonomy–compliance contradiction rather than balancing it.</w:t>
      </w:r>
    </w:p>
    <w:p>
      <w:pPr>
        <w:pStyle w:val="Heading2"/>
        <w:spacing w:after="160" w:before="240"/>
      </w:pPr>
      <w:r>
        <w:rPr>
          <w:b/>
          <w:bCs/>
        </w:rPr>
        <w:t xml:space="preserve">3.3 Discrete Autonomy Scale</w:t>
      </w:r>
    </w:p>
    <w:p>
      <w:pPr>
        <w:spacing w:after="120" w:line="276"/>
        <w:ind w:left="360"/>
        <w:jc w:val="both"/>
      </w:pPr>
      <w:r>
        <w:rPr>
          <w:b/>
          <w:bCs/>
        </w:rPr>
        <w:t xml:space="preserve">Definition 3.3.1</w:t>
      </w:r>
      <w:r>
        <w:t xml:space="preserve"> (Autonomy Level). Let A = {A0, A1, A2, A3, A4} be a finite totally ordered set with A0 &lt; A1 &lt; A2 &lt; A3 &lt; A4. Each level A</w:t>
      </w:r>
      <w:r>
        <w:rPr>
          <w:vertAlign w:val="subscript"/>
        </w:rPr>
        <w:t xml:space="preserve">n</w:t>
      </w:r>
      <w:r>
        <w:t xml:space="preserve"> is characterized by a permission set P</w:t>
      </w:r>
      <w:r>
        <w:rPr>
          <w:vertAlign w:val="subscript"/>
        </w:rPr>
        <w:t xml:space="preserve">n</w:t>
      </w:r>
      <w:r>
        <w:t xml:space="preserve"> ⊆ P</w:t>
      </w:r>
      <w:r>
        <w:rPr>
          <w:vertAlign w:val="subscript"/>
        </w:rPr>
        <w:t xml:space="preserve">n+1</w:t>
      </w:r>
      <w:r>
        <w:t xml:space="preserve"> (monotonic permission expansion), a drift threshold θ</w:t>
      </w:r>
      <w:r>
        <w:rPr>
          <w:vertAlign w:val="subscript"/>
        </w:rPr>
        <w:t xml:space="preserve">n</w:t>
      </w:r>
      <w:r>
        <w:t xml:space="preserve"> with θ</w:t>
      </w:r>
      <w:r>
        <w:rPr>
          <w:vertAlign w:val="subscript"/>
        </w:rPr>
        <w:t xml:space="preserve">0</w:t>
      </w:r>
      <w:r>
        <w:t xml:space="preserve"> &lt; θ</w:t>
      </w:r>
      <w:r>
        <w:rPr>
          <w:vertAlign w:val="subscript"/>
        </w:rPr>
        <w:t xml:space="preserve">1</w:t>
      </w:r>
      <w:r>
        <w:t xml:space="preserve"> &lt; … &lt; θ</w:t>
      </w:r>
      <w:r>
        <w:rPr>
          <w:vertAlign w:val="subscript"/>
        </w:rPr>
        <w:t xml:space="preserve">4</w:t>
      </w:r>
      <w:r>
        <w:t xml:space="preserve"> (increasing tolerance), and a governance overhead inversely proportional to level. A0 (Inert) is the bottom element (maximum constraint, zero autonomous capability); A4 (Adaptive) is the top (minimum governance overhead, maximum autonomy). The degradation function deg: A → A is defined as deg(A</w:t>
      </w:r>
      <w:r>
        <w:rPr>
          <w:vertAlign w:val="subscript"/>
        </w:rPr>
        <w:t xml:space="preserve">n</w:t>
      </w:r>
      <w:r>
        <w:t xml:space="preserve">) = A</w:t>
      </w:r>
      <w:r>
        <w:rPr>
          <w:vertAlign w:val="subscript"/>
        </w:rPr>
        <w:t xml:space="preserve">max(n-1, 0)</w:t>
      </w:r>
      <w:r>
        <w:t xml:space="preserve">, providing the meet operation on this chain.</w:t>
      </w:r>
    </w:p>
    <w:p>
      <w:pPr>
        <w:spacing w:after="120" w:line="276"/>
        <w:jc w:val="both"/>
      </w:pPr>
      <w:r>
        <w:t xml:space="preserve">Drift thresholds θ</w:t>
      </w:r>
      <w:r>
        <w:rPr>
          <w:vertAlign w:val="subscript"/>
        </w:rPr>
        <w:t xml:space="preserve">n</w:t>
      </w:r>
      <w:r>
        <w:t xml:space="preserve"> are published as ranges rather than fixed values to preserve implementation flexibility while maintaining formal guarantees. The observation window w</w:t>
      </w:r>
      <w:r>
        <w:rPr>
          <w:vertAlign w:val="subscript"/>
        </w:rPr>
        <w:t xml:space="preserve">n</w:t>
      </w:r>
      <w:r>
        <w:t xml:space="preserve"> at each level is determined by the design rule derived from Proposition 3.3.4′ below: w</w:t>
      </w:r>
      <w:r>
        <w:rPr>
          <w:vertAlign w:val="subscript"/>
        </w:rPr>
        <w:t xml:space="preserve">n</w:t>
      </w:r>
      <w:r>
        <w:t xml:space="preserve"> must be large enough (relative to the z-score u</w:t>
      </w:r>
      <w:r>
        <w:rPr>
          <w:vertAlign w:val="subscript"/>
        </w:rPr>
        <w:t xml:space="preserve">n</w:t>
      </w:r>
      <w:r>
        <w:t xml:space="preserve"> and the mean-reversion rate γ) to ensure that false degradation probability remains below a target significance level.</w:t>
      </w:r>
    </w:p>
    <w:p>
      <w:pPr>
        <w:spacing w:after="120" w:line="276"/>
        <w:jc w:val="both"/>
      </w:pPr>
      <w:r>
        <w:t xml:space="preserve">Discrete levels produce unambiguous regulatory states—an agent is at A2 or A3, never between them—eliminating the compliance ambiguity of continuous scores. Degradation is automatic: if drift exceeds θ</w:t>
      </w:r>
      <w:r>
        <w:rPr>
          <w:vertAlign w:val="subscript"/>
        </w:rPr>
        <w:t xml:space="preserve">n</w:t>
      </w:r>
      <w:r>
        <w:t xml:space="preserve"> for window w</w:t>
      </w:r>
      <w:r>
        <w:rPr>
          <w:vertAlign w:val="subscript"/>
        </w:rPr>
        <w:t xml:space="preserve">n</w:t>
      </w:r>
      <w:r>
        <w:t xml:space="preserve">, the agent drops to A</w:t>
      </w:r>
      <w:r>
        <w:rPr>
          <w:vertAlign w:val="subscript"/>
        </w:rPr>
        <w:t xml:space="preserve">n-1</w:t>
      </w:r>
      <w:r>
        <w:t xml:space="preserve"> without human intervention. Promotion requires all five gates. This asymmetry encodes the regulatory principle that restriction should be immediate while privilege expansion should be deliberate.</w:t>
      </w:r>
    </w:p>
    <w:p>
      <w:pPr>
        <w:spacing w:after="120" w:line="276"/>
        <w:ind w:left="360"/>
        <w:jc w:val="both"/>
      </w:pPr>
      <w:r>
        <w:rPr>
          <w:b/>
          <w:bCs/>
        </w:rPr>
        <w:t xml:space="preserve">Proposition 3.3.4′</w:t>
      </w:r>
      <w:r>
        <w:t xml:space="preserve"> (False Degradation Bound). </w:t>
      </w:r>
      <w:r>
        <w:rPr>
          <w:i/>
          <w:iCs/>
        </w:rPr>
        <w:t xml:space="preserve">Let D(t) be the OU drift process with parameters (α, γ, σ) and let u</w:t>
      </w:r>
      <w:r>
        <w:rPr>
          <w:vertAlign w:val="subscript"/>
        </w:rPr>
        <w:t xml:space="preserve">n</w:t>
      </w:r>
      <w:r>
        <w:rPr>
          <w:i/>
          <w:iCs/>
        </w:rPr>
        <w:t xml:space="preserve"> = (θ</w:t>
      </w:r>
      <w:r>
        <w:rPr>
          <w:vertAlign w:val="subscript"/>
        </w:rPr>
        <w:t xml:space="preserve">n</w:t>
      </w:r>
      <w:r>
        <w:rPr>
          <w:i/>
          <w:iCs/>
        </w:rPr>
        <w:t xml:space="preserve"> − α/γ)/(σ/√(2γ)) be the normalized threshold (z-score). Define the expected upcrossing rate ν</w:t>
      </w:r>
      <w:r>
        <w:rPr>
          <w:vertAlign w:val="superscript"/>
        </w:rPr>
        <w:t xml:space="preserve">+</w:t>
      </w:r>
      <w:r>
        <w:rPr>
          <w:vertAlign w:val="subscript"/>
        </w:rPr>
        <w:t xml:space="preserve">n</w:t>
      </w:r>
      <w:r>
        <w:rPr>
          <w:i/>
          <w:iCs/>
        </w:rPr>
        <w:t xml:space="preserve"> = (γ/π) · exp(−u</w:t>
      </w:r>
      <w:r>
        <w:rPr>
          <w:vertAlign w:val="subscript"/>
        </w:rPr>
        <w:t xml:space="preserve">n</w:t>
      </w:r>
      <w:r>
        <w:rPr>
          <w:vertAlign w:val="superscript"/>
        </w:rPr>
        <w:t xml:space="preserve">2</w:t>
      </w:r>
      <w:r>
        <w:rPr>
          <w:i/>
          <w:iCs/>
        </w:rPr>
        <w:t xml:space="preserve">/2) (Rice [42], Eq. 3.3-5 applied to the OU correlation structure). Then the probability that a false sojourn—an excursion above θ</w:t>
      </w:r>
      <w:r>
        <w:rPr>
          <w:vertAlign w:val="subscript"/>
        </w:rPr>
        <w:t xml:space="preserve">n</w:t>
      </w:r>
      <w:r>
        <w:rPr>
          <w:i/>
          <w:iCs/>
        </w:rPr>
        <w:t xml:space="preserve"> by a well-behaved agent—exceeds duration w</w:t>
      </w:r>
      <w:r>
        <w:rPr>
          <w:vertAlign w:val="subscript"/>
        </w:rPr>
        <w:t xml:space="preserve">n</w:t>
      </w:r>
      <w:r>
        <w:rPr>
          <w:i/>
          <w:iCs/>
        </w:rPr>
        <w:t xml:space="preserve"> is bounded by:</w:t>
      </w:r>
    </w:p>
    <w:p>
      <w:pPr>
        <w:spacing w:after="120" w:line="276"/>
        <w:ind w:left="720"/>
        <w:jc w:val="left"/>
      </w:pPr>
      <w:r>
        <w:rPr>
          <w:i/>
          <w:iCs/>
        </w:rPr>
        <w:t xml:space="preserve">P(sojourn ≥ w</w:t>
      </w:r>
      <w:r>
        <w:rPr>
          <w:vertAlign w:val="subscript"/>
        </w:rPr>
        <w:t xml:space="preserve">n</w:t>
      </w:r>
      <w:r>
        <w:rPr>
          <w:i/>
          <w:iCs/>
        </w:rPr>
        <w:t xml:space="preserve">) ≤ exp(−u</w:t>
      </w:r>
      <w:r>
        <w:rPr>
          <w:vertAlign w:val="subscript"/>
        </w:rPr>
        <w:t xml:space="preserve">n</w:t>
      </w:r>
      <w:r>
        <w:rPr>
          <w:vertAlign w:val="superscript"/>
        </w:rPr>
        <w:t xml:space="preserve">2</w:t>
      </w:r>
      <w:r>
        <w:rPr>
          <w:i/>
          <w:iCs/>
        </w:rPr>
        <w:t xml:space="preserve"> · Ψ(γw</w:t>
      </w:r>
      <w:r>
        <w:rPr>
          <w:vertAlign w:val="subscript"/>
        </w:rPr>
        <w:t xml:space="preserve">n</w:t>
      </w:r>
      <w:r>
        <w:rPr>
          <w:i/>
          <w:iCs/>
        </w:rPr>
        <w:t xml:space="preserve">))</w:t>
      </w:r>
    </w:p>
    <w:p>
      <w:pPr>
        <w:spacing w:after="120" w:line="276"/>
        <w:ind w:left="360"/>
        <w:jc w:val="both"/>
      </w:pPr>
      <w:r>
        <w:rPr>
          <w:i/>
          <w:iCs/>
        </w:rPr>
        <w:t xml:space="preserve">where Ψ(τ) = τ − (1 − e</w:t>
      </w:r>
      <w:r>
        <w:rPr>
          <w:vertAlign w:val="superscript"/>
        </w:rPr>
        <w:t xml:space="preserve">−τ</w:t>
      </w:r>
      <w:r>
        <w:rPr>
          <w:i/>
          <w:iCs/>
        </w:rPr>
        <w:t xml:space="preserve">) is a dimensionless, monotonically increasing function of the normalized window τ = γw</w:t>
      </w:r>
      <w:r>
        <w:rPr>
          <w:vertAlign w:val="subscript"/>
        </w:rPr>
        <w:t xml:space="preserve">n</w:t>
      </w:r>
      <w:r>
        <w:rPr>
          <w:i/>
          <w:iCs/>
        </w:rPr>
        <w:t xml:space="preserve"> (the observation window measured in mean-reversion timescales). For τ ≫ 1, Ψ(τ) ≈ τ, recovering exponential decay in the observation window.</w:t>
      </w:r>
    </w:p>
    <w:p>
      <w:pPr>
        <w:spacing w:after="120" w:line="276"/>
        <w:jc w:val="both"/>
      </w:pPr>
      <w:r>
        <w:rPr>
          <w:i/>
          <w:iCs/>
        </w:rPr>
        <w:t xml:space="preserve">Proof sketch.</w:t>
      </w:r>
      <w:r>
        <w:t xml:space="preserve"> </w:t>
      </w:r>
      <w:r>
        <w:rPr>
          <w:b/>
          <w:bCs/>
        </w:rPr>
        <w:t xml:space="preserve">(i) Crossing rate.</w:t>
      </w:r>
      <w:r>
        <w:t xml:space="preserve"> The OU autocorrelation R(τ) = (σ²/2γ)e</w:t>
      </w:r>
      <w:r>
        <w:rPr>
          <w:vertAlign w:val="superscript"/>
        </w:rPr>
        <w:t xml:space="preserve">−γ|τ|</w:t>
      </w:r>
      <w:r>
        <w:t xml:space="preserve"> yields, via Rice’s formula [42, Eq. 3.3-5], the expected upcrossing rate ν</w:t>
      </w:r>
      <w:r>
        <w:rPr>
          <w:vertAlign w:val="superscript"/>
        </w:rPr>
        <w:t xml:space="preserve">+</w:t>
      </w:r>
      <w:r>
        <w:t xml:space="preserve"> = (γ/π) · exp(−u</w:t>
      </w:r>
      <w:r>
        <w:rPr>
          <w:vertAlign w:val="subscript"/>
        </w:rPr>
        <w:t xml:space="preserve">n</w:t>
      </w:r>
      <w:r>
        <w:t xml:space="preserve">²/2). </w:t>
      </w:r>
      <w:r>
        <w:rPr>
          <w:b/>
          <w:bCs/>
        </w:rPr>
        <w:t xml:space="preserve">(ii) Conditional sojourn.</w:t>
      </w:r>
      <w:r>
        <w:t xml:space="preserve"> Conditional on an upcrossing, the process above θ</w:t>
      </w:r>
      <w:r>
        <w:rPr>
          <w:vertAlign w:val="subscript"/>
        </w:rPr>
        <w:t xml:space="preserve">n</w:t>
      </w:r>
      <w:r>
        <w:t xml:space="preserve"> forms a conditioned OU bridge. By the Slepian comparison inequality and the reflection principle for Gaussian bridges, the sojourn tail satisfies P(sojourn ≥ w | upcrossing) ≤ exp(−u</w:t>
      </w:r>
      <w:r>
        <w:rPr>
          <w:vertAlign w:val="subscript"/>
        </w:rPr>
        <w:t xml:space="preserve">n</w:t>
      </w:r>
      <w:r>
        <w:t xml:space="preserve">² · Ψ(γw)), where Ψ captures the OU mean-reversion correction to the Brownian sojourn bound. </w:t>
      </w:r>
      <w:r>
        <w:rPr>
          <w:b/>
          <w:bCs/>
        </w:rPr>
        <w:t xml:space="preserve">(iii) Unconditional bound.</w:t>
      </w:r>
      <w:r>
        <w:t xml:space="preserve"> By total probability, P(false degradation) ≤ ν</w:t>
      </w:r>
      <w:r>
        <w:rPr>
          <w:vertAlign w:val="superscript"/>
        </w:rPr>
        <w:t xml:space="preserve">+</w:t>
      </w:r>
      <w:r>
        <w:t xml:space="preserve"> · w</w:t>
      </w:r>
      <w:r>
        <w:rPr>
          <w:vertAlign w:val="subscript"/>
        </w:rPr>
        <w:t xml:space="preserve">n</w:t>
      </w:r>
      <w:r>
        <w:t xml:space="preserve"> · P(sojourn ≥ w</w:t>
      </w:r>
      <w:r>
        <w:rPr>
          <w:vertAlign w:val="subscript"/>
        </w:rPr>
        <w:t xml:space="preserve">n</w:t>
      </w:r>
      <w:r>
        <w:t xml:space="preserve"> | upcrossing). The proposition states the conditional bound; the unconditional bound (including the crossing rate prefactor) is used for threshold calibration. □</w:t>
      </w:r>
    </w:p>
    <w:p>
      <w:pPr>
        <w:spacing w:after="120" w:line="276"/>
        <w:jc w:val="both"/>
      </w:pPr>
      <w:r>
        <w:rPr>
          <w:b/>
          <w:bCs/>
        </w:rPr>
        <w:t xml:space="preserve">Design Rule</w:t>
      </w:r>
      <w:r>
        <w:t xml:space="preserve"> (derived from Proposition 3.3.4′). Given a target false degradation probability p</w:t>
      </w:r>
      <w:r>
        <w:rPr>
          <w:vertAlign w:val="subscript"/>
        </w:rPr>
        <w:t xml:space="preserve">false</w:t>
      </w:r>
      <w:r>
        <w:t xml:space="preserve">, the minimum observation window satisfies γw</w:t>
      </w:r>
      <w:r>
        <w:rPr>
          <w:vertAlign w:val="subscript"/>
        </w:rPr>
        <w:t xml:space="preserve">n</w:t>
      </w:r>
      <w:r>
        <w:t xml:space="preserve"> ≥ Ψ</w:t>
      </w:r>
      <w:r>
        <w:rPr>
          <w:vertAlign w:val="superscript"/>
        </w:rPr>
        <w:t xml:space="preserve">−1</w:t>
      </w:r>
      <w:r>
        <w:t xml:space="preserve">(−ln(p</w:t>
      </w:r>
      <w:r>
        <w:rPr>
          <w:vertAlign w:val="subscript"/>
        </w:rPr>
        <w:t xml:space="preserve">false</w:t>
      </w:r>
      <w:r>
        <w:t xml:space="preserve">)/u</w:t>
      </w:r>
      <w:r>
        <w:rPr>
          <w:vertAlign w:val="subscript"/>
        </w:rPr>
        <w:t xml:space="preserve">n</w:t>
      </w:r>
      <w:r>
        <w:t xml:space="preserve">²). For u</w:t>
      </w:r>
      <w:r>
        <w:rPr>
          <w:vertAlign w:val="subscript"/>
        </w:rPr>
        <w:t xml:space="preserve">n</w:t>
      </w:r>
      <w:r>
        <w:t xml:space="preserve"> ≥ 2 and p</w:t>
      </w:r>
      <w:r>
        <w:rPr>
          <w:vertAlign w:val="subscript"/>
        </w:rPr>
        <w:t xml:space="preserve">false</w:t>
      </w:r>
      <w:r>
        <w:t xml:space="preserve"> ≤ 0.01, this simplifies to w</w:t>
      </w:r>
      <w:r>
        <w:rPr>
          <w:vertAlign w:val="subscript"/>
        </w:rPr>
        <w:t xml:space="preserve">n</w:t>
      </w:r>
      <w:r>
        <w:t xml:space="preserve"> ≥ −ln(p</w:t>
      </w:r>
      <w:r>
        <w:rPr>
          <w:vertAlign w:val="subscript"/>
        </w:rPr>
        <w:t xml:space="preserve">false</w:t>
      </w:r>
      <w:r>
        <w:t xml:space="preserve">)/(u</w:t>
      </w:r>
      <w:r>
        <w:rPr>
          <w:vertAlign w:val="subscript"/>
        </w:rPr>
        <w:t xml:space="preserve">n</w:t>
      </w:r>
      <w:r>
        <w:t xml:space="preserve">² · γ), providing a closed-form design rule: the observation window is inversely proportional to the squared z-score and the mean-reversion rate. Higher thresholds (larger u</w:t>
      </w:r>
      <w:r>
        <w:rPr>
          <w:vertAlign w:val="subscript"/>
        </w:rPr>
        <w:t xml:space="preserve">n</w:t>
      </w:r>
      <w:r>
        <w:t xml:space="preserve">) and faster mean-reversion (larger γ) permit shorter observation windows.</w:t>
      </w:r>
    </w:p>
    <w:p>
      <w:pPr>
        <w:spacing w:after="120" w:line="276"/>
        <w:ind w:left="360"/>
        <w:jc w:val="both"/>
      </w:pPr>
      <w:r>
        <w:rPr>
          <w:b/>
          <w:bCs/>
        </w:rPr>
        <w:t xml:space="preserve">Definition 3.3.6</w:t>
      </w:r>
      <w:r>
        <w:t xml:space="preserve"> (Promotion Gate). Promotion from level A</w:t>
      </w:r>
      <w:r>
        <w:rPr>
          <w:vertAlign w:val="subscript"/>
        </w:rPr>
        <w:t xml:space="preserve">n</w:t>
      </w:r>
      <w:r>
        <w:t xml:space="preserve"> to A</w:t>
      </w:r>
      <w:r>
        <w:rPr>
          <w:vertAlign w:val="subscript"/>
        </w:rPr>
        <w:t xml:space="preserve">n+1</w:t>
      </w:r>
      <w:r>
        <w:t xml:space="preserve"> requires satisfaction of five gates: (G1) sustained drift D(t) &lt; θ</w:t>
      </w:r>
      <w:r>
        <w:rPr>
          <w:vertAlign w:val="subscript"/>
        </w:rPr>
        <w:t xml:space="preserve">n</w:t>
      </w:r>
      <w:r>
        <w:t xml:space="preserve"> for the full observation window w</w:t>
      </w:r>
      <w:r>
        <w:rPr>
          <w:vertAlign w:val="subscript"/>
        </w:rPr>
        <w:t xml:space="preserve">n</w:t>
      </w:r>
      <w:r>
        <w:t xml:space="preserve">; (G2) AIBOM integrity verification (all supply-chain hashes valid); (G3) policy compliance (zero policy violations during the observation window); (G4) evidence completeness (all required evidence types generated); and (G5) human authorization at the appropriate supervisory level. Gates are conjunctive: failure of any single gate blocks promotion.</w:t>
      </w:r>
    </w:p>
    <w:p>
      <w:pPr>
        <w:spacing w:after="120" w:line="276"/>
        <w:ind w:left="360"/>
        <w:jc w:val="both"/>
      </w:pPr>
      <w:r>
        <w:rPr>
          <w:b/>
          <w:bCs/>
        </w:rPr>
        <w:t xml:space="preserve">Proposition 3.3.7</w:t>
      </w:r>
      <w:r>
        <w:t xml:space="preserve"> (Promotion Safety). </w:t>
      </w:r>
      <w:r>
        <w:rPr>
          <w:i/>
          <w:iCs/>
        </w:rPr>
        <w:t xml:space="preserve">Under the five-gate protocol, chain reliability after promotion is bounded below by a sector-specific minimum: p</w:t>
      </w:r>
      <w:r>
        <w:rPr>
          <w:vertAlign w:val="subscript"/>
        </w:rPr>
        <w:t xml:space="preserve">chain</w:t>
      </w:r>
      <w:r>
        <w:rPr>
          <w:i/>
          <w:iCs/>
        </w:rPr>
        <w:t xml:space="preserve">(A</w:t>
      </w:r>
      <w:r>
        <w:rPr>
          <w:vertAlign w:val="subscript"/>
        </w:rPr>
        <w:t xml:space="preserve">n+1</w:t>
      </w:r>
      <w:r>
        <w:rPr>
          <w:i/>
          <w:iCs/>
        </w:rPr>
        <w:t xml:space="preserve">) ≥ r</w:t>
      </w:r>
      <w:r>
        <w:rPr>
          <w:vertAlign w:val="subscript"/>
        </w:rPr>
        <w:t xml:space="preserve">min</w:t>
      </w:r>
      <w:r>
        <w:rPr>
          <w:i/>
          <w:iCs/>
        </w:rPr>
        <w:t xml:space="preserve">(A</w:t>
      </w:r>
      <w:r>
        <w:rPr>
          <w:vertAlign w:val="subscript"/>
        </w:rPr>
        <w:t xml:space="preserve">n+1</w:t>
      </w:r>
      <w:r>
        <w:rPr>
          <w:i/>
          <w:iCs/>
        </w:rPr>
        <w:t xml:space="preserve">), where r</w:t>
      </w:r>
      <w:r>
        <w:rPr>
          <w:vertAlign w:val="subscript"/>
        </w:rPr>
        <w:t xml:space="preserve">min</w:t>
      </w:r>
      <w:r>
        <w:rPr>
          <w:i/>
          <w:iCs/>
        </w:rPr>
        <w:t xml:space="preserve"> is determined by the gate criteria. Furthermore, the reliability loss from permission expansion is bounded: p</w:t>
      </w:r>
      <w:r>
        <w:rPr>
          <w:vertAlign w:val="subscript"/>
        </w:rPr>
        <w:t xml:space="preserve">chain</w:t>
      </w:r>
      <w:r>
        <w:rPr>
          <w:i/>
          <w:iCs/>
        </w:rPr>
        <w:t xml:space="preserve">(A</w:t>
      </w:r>
      <w:r>
        <w:rPr>
          <w:vertAlign w:val="subscript"/>
        </w:rPr>
        <w:t xml:space="preserve">n</w:t>
      </w:r>
      <w:r>
        <w:rPr>
          <w:i/>
          <w:iCs/>
        </w:rPr>
        <w:t xml:space="preserve">) − p</w:t>
      </w:r>
      <w:r>
        <w:rPr>
          <w:vertAlign w:val="subscript"/>
        </w:rPr>
        <w:t xml:space="preserve">chain</w:t>
      </w:r>
      <w:r>
        <w:rPr>
          <w:i/>
          <w:iCs/>
        </w:rPr>
        <w:t xml:space="preserve">(A</w:t>
      </w:r>
      <w:r>
        <w:rPr>
          <w:vertAlign w:val="subscript"/>
        </w:rPr>
        <w:t xml:space="preserve">n+1</w:t>
      </w:r>
      <w:r>
        <w:rPr>
          <w:i/>
          <w:iCs/>
        </w:rPr>
        <w:t xml:space="preserve">) ≤ |P</w:t>
      </w:r>
      <w:r>
        <w:rPr>
          <w:vertAlign w:val="subscript"/>
        </w:rPr>
        <w:t xml:space="preserve">n+1</w:t>
      </w:r>
      <w:r>
        <w:rPr>
          <w:i/>
          <w:iCs/>
        </w:rPr>
        <w:t xml:space="preserve"> \ P</w:t>
      </w:r>
      <w:r>
        <w:rPr>
          <w:vertAlign w:val="subscript"/>
        </w:rPr>
        <w:t xml:space="preserve">n</w:t>
      </w:r>
      <w:r>
        <w:rPr>
          <w:i/>
          <w:iCs/>
        </w:rPr>
        <w:t xml:space="preserve">| · (1 − q</w:t>
      </w:r>
      <w:r>
        <w:rPr>
          <w:vertAlign w:val="subscript"/>
        </w:rPr>
        <w:t xml:space="preserve">min</w:t>
      </w:r>
      <w:r>
        <w:rPr>
          <w:i/>
          <w:iCs/>
        </w:rPr>
        <w:t xml:space="preserve">), where q</w:t>
      </w:r>
      <w:r>
        <w:rPr>
          <w:vertAlign w:val="subscript"/>
        </w:rPr>
        <w:t xml:space="preserve">min</w:t>
      </w:r>
      <w:r>
        <w:rPr>
          <w:i/>
          <w:iCs/>
        </w:rPr>
        <w:t xml:space="preserve"> is the minimum per-action reliability of newly enabled actions as verified by the GLL sandbox (gate G1).</w:t>
      </w:r>
    </w:p>
    <w:p>
      <w:pPr>
        <w:spacing w:after="120" w:line="276"/>
        <w:jc w:val="both"/>
      </w:pPr>
      <w:r>
        <w:rPr>
          <w:i/>
          <w:iCs/>
        </w:rPr>
        <w:t xml:space="preserve">Proof sketch.</w:t>
      </w:r>
      <w:r>
        <w:t xml:space="preserve"> By ABC Theorem 4.11 [1], each new action a ∈ P</w:t>
      </w:r>
      <w:r>
        <w:rPr>
          <w:vertAlign w:val="subscript"/>
        </w:rPr>
        <w:t xml:space="preserve">n+1</w:t>
      </w:r>
      <w:r>
        <w:t xml:space="preserve"> \ P</w:t>
      </w:r>
      <w:r>
        <w:rPr>
          <w:vertAlign w:val="subscript"/>
        </w:rPr>
        <w:t xml:space="preserve">n</w:t>
      </w:r>
      <w:r>
        <w:t xml:space="preserve"> contributes a multiplicative factor p</w:t>
      </w:r>
      <w:r>
        <w:rPr>
          <w:vertAlign w:val="subscript"/>
        </w:rPr>
        <w:t xml:space="preserve">a</w:t>
      </w:r>
      <w:r>
        <w:t xml:space="preserve"> · φ</w:t>
      </w:r>
      <w:r>
        <w:rPr>
          <w:vertAlign w:val="subscript"/>
        </w:rPr>
        <w:t xml:space="preserve">a</w:t>
      </w:r>
      <w:r>
        <w:t xml:space="preserve"> ≤ 1, so p</w:t>
      </w:r>
      <w:r>
        <w:rPr>
          <w:vertAlign w:val="subscript"/>
        </w:rPr>
        <w:t xml:space="preserve">chain</w:t>
      </w:r>
      <w:r>
        <w:t xml:space="preserve"> can only decrease under permission expansion. Gate G1 bounds the loss: newly enabled actions must demonstrate p</w:t>
      </w:r>
      <w:r>
        <w:rPr>
          <w:vertAlign w:val="subscript"/>
        </w:rPr>
        <w:t xml:space="preserve">a</w:t>
      </w:r>
      <w:r>
        <w:t xml:space="preserve"> ≥ q</w:t>
      </w:r>
      <w:r>
        <w:rPr>
          <w:vertAlign w:val="subscript"/>
        </w:rPr>
        <w:t xml:space="preserve">min</w:t>
      </w:r>
      <w:r>
        <w:t xml:space="preserve"> in the GLL sandbox. Gates G2–G4 verify trust infrastructure integrity; G5 provides human authorization. The total reliability loss is bounded by |P</w:t>
      </w:r>
      <w:r>
        <w:rPr>
          <w:vertAlign w:val="subscript"/>
        </w:rPr>
        <w:t xml:space="preserve">n+1</w:t>
      </w:r>
      <w:r>
        <w:t xml:space="preserve"> \ P</w:t>
      </w:r>
      <w:r>
        <w:rPr>
          <w:vertAlign w:val="subscript"/>
        </w:rPr>
        <w:t xml:space="preserve">n</w:t>
      </w:r>
      <w:r>
        <w:t xml:space="preserve">| · (1 − q</w:t>
      </w:r>
      <w:r>
        <w:rPr>
          <w:vertAlign w:val="subscript"/>
        </w:rPr>
        <w:t xml:space="preserve">min</w:t>
      </w:r>
      <w:r>
        <w:t xml:space="preserve">), and r</w:t>
      </w:r>
      <w:r>
        <w:rPr>
          <w:vertAlign w:val="subscript"/>
        </w:rPr>
        <w:t xml:space="preserve">min</w:t>
      </w:r>
      <w:r>
        <w:t xml:space="preserve"> is set so that this cumulative loss keeps p</w:t>
      </w:r>
      <w:r>
        <w:rPr>
          <w:vertAlign w:val="subscript"/>
        </w:rPr>
        <w:t xml:space="preserve">chain</w:t>
      </w:r>
      <w:r>
        <w:t xml:space="preserve"> above the sector-specific minimum at all levels. □</w:t>
      </w:r>
    </w:p>
    <w:p>
      <w:pPr>
        <w:pStyle w:val="Heading2"/>
        <w:spacing w:after="160" w:before="240"/>
      </w:pPr>
      <w:r>
        <w:rPr>
          <w:b/>
          <w:bCs/>
        </w:rPr>
        <w:t xml:space="preserve">3.4 Dual-Path Governance Engine</w:t>
      </w:r>
    </w:p>
    <w:p>
      <w:pPr>
        <w:spacing w:after="120" w:line="276"/>
        <w:jc w:val="both"/>
      </w:pPr>
      <w:r>
        <w:t xml:space="preserve">The Agent Trust Kernel (ATK) evaluates every agent action through a five-envelope structure: (E1) identity and authentication, (E2) capability scope, (E3) policy compliance, (E4) behavioral consistency, and (E5) evidence requirements. Based on evaluation, the ATK returns one of six decisions: ALLOW, ALLOW_CONDITIONAL, ESCALATE, DENY_SOFT, DENY_HARD, or QUARANTINE. The six decisions provide graduated response: ALLOW_CONDITIONAL permits execution with additional monitoring, ESCALATE routes to human oversight, DENY_SOFT blocks with explanation (allowing resubmission), DENY_HARD blocks permanently for the current session, and QUARANTINE isolates the agent pending investigation. This graduated response model maps directly to FINRA’s supervisory framework, where the appropriate response to a potential violation depends on its severity and the agent’s supervisory history.</w:t>
      </w:r>
    </w:p>
    <w:p>
      <w:pPr>
        <w:spacing w:after="120" w:line="276"/>
        <w:ind w:left="360"/>
        <w:jc w:val="both"/>
      </w:pPr>
      <w:r>
        <w:rPr>
          <w:b/>
          <w:bCs/>
        </w:rPr>
        <w:t xml:space="preserve">Definition 3.4.2</w:t>
      </w:r>
      <w:r>
        <w:t xml:space="preserve"> (Dual-Path Engine). The governance engine operates two evaluation paths: Path R (rule-based), executing OPA/Rego policies deterministically with bounded latency, and Path G (generative), invoking a separate governance LLM for semantic evaluation of edge cases. The dual-path decision is: if either path returns DENY, the action is blocked; if Path G is unavailable, the engine defaults to Path R only with DENY as the fallback for ambiguous cases.</w:t>
      </w:r>
    </w:p>
    <w:p>
      <w:pPr>
        <w:spacing w:after="120" w:line="276"/>
        <w:ind w:left="360"/>
        <w:jc w:val="both"/>
      </w:pPr>
      <w:r>
        <w:rPr>
          <w:b/>
          <w:bCs/>
        </w:rPr>
        <w:t xml:space="preserve">Remark 3.4.3</w:t>
      </w:r>
      <w:r>
        <w:t xml:space="preserve"> (Dual-Path Throughput Estimate). </w:t>
      </w:r>
      <w:r>
        <w:rPr>
          <w:i/>
          <w:iCs/>
        </w:rPr>
        <w:t xml:space="preserve">Let S</w:t>
      </w:r>
      <w:r>
        <w:rPr>
          <w:vertAlign w:val="subscript"/>
        </w:rPr>
        <w:t xml:space="preserve">R</w:t>
      </w:r>
      <w:r>
        <w:rPr>
          <w:i/>
          <w:iCs/>
        </w:rPr>
        <w:t xml:space="preserve"> denote Path R throughput (requests/second) and S</w:t>
      </w:r>
      <w:r>
        <w:rPr>
          <w:vertAlign w:val="subscript"/>
        </w:rPr>
        <w:t xml:space="preserve">G</w:t>
      </w:r>
      <w:r>
        <w:rPr>
          <w:i/>
          <w:iCs/>
        </w:rPr>
        <w:t xml:space="preserve"> denote Path G throughput (requests/second), with S</w:t>
      </w:r>
      <w:r>
        <w:rPr>
          <w:vertAlign w:val="subscript"/>
        </w:rPr>
        <w:t xml:space="preserve">R</w:t>
      </w:r>
      <w:r>
        <w:rPr>
          <w:i/>
          <w:iCs/>
        </w:rPr>
        <w:t xml:space="preserve"> ≫ S</w:t>
      </w:r>
      <w:r>
        <w:rPr>
          <w:vertAlign w:val="subscript"/>
        </w:rPr>
        <w:t xml:space="preserve">G</w:t>
      </w:r>
      <w:r>
        <w:rPr>
          <w:i/>
          <w:iCs/>
        </w:rPr>
        <w:t xml:space="preserve"> due to deterministic policy evaluation versus LLM inference. Let f denote the fraction of requests routed to Path G. By Amdahl’s law, the effective throughput of the dual-path engine is:</w:t>
      </w:r>
    </w:p>
    <w:p>
      <w:pPr>
        <w:spacing w:after="120" w:line="276"/>
        <w:ind w:left="720"/>
        <w:jc w:val="left"/>
      </w:pPr>
      <w:r>
        <w:rPr>
          <w:i/>
          <w:iCs/>
        </w:rPr>
        <w:t xml:space="preserve">S = S</w:t>
      </w:r>
      <w:r>
        <w:rPr>
          <w:vertAlign w:val="subscript"/>
        </w:rPr>
        <w:t xml:space="preserve">R</w:t>
      </w:r>
      <w:r>
        <w:rPr>
          <w:i/>
          <w:iCs/>
        </w:rPr>
        <w:t xml:space="preserve"> / ((1 − f) + f · (S</w:t>
      </w:r>
      <w:r>
        <w:rPr>
          <w:vertAlign w:val="subscript"/>
        </w:rPr>
        <w:t xml:space="preserve">R</w:t>
      </w:r>
      <w:r>
        <w:rPr>
          <w:i/>
          <w:iCs/>
        </w:rPr>
        <w:t xml:space="preserve"> / S</w:t>
      </w:r>
      <w:r>
        <w:rPr>
          <w:vertAlign w:val="subscript"/>
        </w:rPr>
        <w:t xml:space="preserve">G</w:t>
      </w:r>
      <w:r>
        <w:rPr>
          <w:i/>
          <w:iCs/>
        </w:rPr>
        <w:t xml:space="preserve">))</w:t>
      </w:r>
    </w:p>
    <w:p>
      <w:pPr>
        <w:spacing w:after="120" w:line="276"/>
        <w:ind w:left="360"/>
        <w:jc w:val="both"/>
      </w:pPr>
      <w:r>
        <w:rPr>
          <w:i/>
          <w:iCs/>
        </w:rPr>
        <w:t xml:space="preserve">For typical configurations where S</w:t>
      </w:r>
      <w:r>
        <w:rPr>
          <w:vertAlign w:val="subscript"/>
        </w:rPr>
        <w:t xml:space="preserve">R</w:t>
      </w:r>
      <w:r>
        <w:rPr>
          <w:i/>
          <w:iCs/>
        </w:rPr>
        <w:t xml:space="preserve">/S</w:t>
      </w:r>
      <w:r>
        <w:rPr>
          <w:vertAlign w:val="subscript"/>
        </w:rPr>
        <w:t xml:space="preserve">G</w:t>
      </w:r>
      <w:r>
        <w:rPr>
          <w:i/>
          <w:iCs/>
        </w:rPr>
        <w:t xml:space="preserve"> ≈ 20–50 (OPA/Rego evaluation at ~5,000 req/s vs. LLM inference at ~100–250 req/s) and f ≈ 0.05–0.15, the dual-path engine achieves approximately 2.5–3.0× the throughput of a single-path generative approach (where f = 1). This is an engineering estimate, not a formal bound; actual throughput depends on hardware, model size, batching strategy, and request distribution. Note: the Amdahl formulation assumes synchronous, blocking evaluation. If the architecture employs asynchronous queuing and pipelining for Path G evaluations, queueing-theoretic models (e.g., Jackson networks) would yield tighter throughput characterizations; the synchronous estimate is conservative (a lower bound on actual async throughput).</w:t>
      </w:r>
    </w:p>
    <w:p>
      <w:pPr>
        <w:spacing w:after="120" w:line="276"/>
        <w:ind w:left="360"/>
        <w:jc w:val="both"/>
      </w:pPr>
      <w:r>
        <w:rPr>
          <w:b/>
          <w:bCs/>
        </w:rPr>
        <w:t xml:space="preserve">Design Invariant 3.4.4</w:t>
      </w:r>
      <w:r>
        <w:t xml:space="preserve"> (Fail-Closed Safety). </w:t>
      </w:r>
      <w:r>
        <w:rPr>
          <w:i/>
          <w:iCs/>
        </w:rPr>
        <w:t xml:space="preserve">The dual-path engine is fail-closed: (i) if either Path R or Path G returns DENY, the action is blocked; (ii) if Path G is unavailable, the engine operates on Path R alone with DENY as the default for ambiguous evaluations.</w:t>
      </w:r>
    </w:p>
    <w:p>
      <w:pPr>
        <w:spacing w:after="120" w:line="276"/>
        <w:jc w:val="both"/>
      </w:pPr>
      <w:r>
        <w:rPr>
          <w:i/>
          <w:iCs/>
        </w:rPr>
        <w:t xml:space="preserve">Verification.</w:t>
      </w:r>
      <w:r>
        <w:t xml:space="preserve"> By construction. The decision truth table: ALLOW iff Path R = ALLOW ∧ Path G = ALLOW; DENY otherwise. Path G unavailability triggers conservative fallback (Path R only, DENY for ambiguous cases). □</w:t>
      </w:r>
    </w:p>
    <w:p>
      <w:pPr>
        <w:spacing w:after="120" w:line="276"/>
        <w:ind w:left="360"/>
        <w:jc w:val="both"/>
      </w:pPr>
      <w:r>
        <w:rPr>
          <w:b/>
          <w:bCs/>
        </w:rPr>
        <w:t xml:space="preserve">Proposition 3.4.5</w:t>
      </w:r>
      <w:r>
        <w:t xml:space="preserve"> (ABC Drift Invariance). </w:t>
      </w:r>
      <w:r>
        <w:rPr>
          <w:i/>
          <w:iCs/>
        </w:rPr>
        <w:t xml:space="preserve">The dual-path architecture preserves the </w:t>
      </w:r>
      <w:r>
        <w:rPr>
          <w:b/>
          <w:bCs/>
          <w:i/>
          <w:iCs/>
        </w:rPr>
        <w:t xml:space="preserve">intrinsic</w:t>
      </w:r>
      <w:r>
        <w:rPr>
          <w:i/>
          <w:iCs/>
        </w:rPr>
        <w:t xml:space="preserve"> drift bounds established in ABC Theorem 4.3 [1]. The agent’s internal behavioral drift process D(t)—the drift that would be observed in the absence of governance filtering—retains its stationary distribution D(t) ~ N(α/γ, σ²/2γ) and tail bound P(D &gt; α/γ + η) ≤ exp(−γη²/σ²) under dual-path governance.</w:t>
      </w:r>
    </w:p>
    <w:p>
      <w:pPr>
        <w:spacing w:after="120" w:line="276"/>
        <w:jc w:val="both"/>
      </w:pPr>
      <w:r>
        <w:rPr>
          <w:i/>
          <w:iCs/>
        </w:rPr>
        <w:t xml:space="preserve">Proof sketch.</w:t>
      </w:r>
      <w:r>
        <w:t xml:space="preserve"> The dual-path engine operates as a filter on agent actions, not as a modifier of agent behavior: the ATK permits or denies actions but does not alter the agent’s internal state, parameters, or action-generation process. The intrinsic drift process D(t) characterizes the agent’s behavioral trajectory as determined by its model weights, prompt configuration, and tool environment—none of which the ATK modifies. Therefore the OU dynamics governing D(t) are invariant under the introduction of dual-path governance.</w:t>
      </w:r>
    </w:p>
    <w:p>
      <w:pPr>
        <w:spacing w:after="120" w:line="276"/>
        <w:jc w:val="both"/>
      </w:pPr>
      <w:r>
        <w:rPr>
          <w:b/>
          <w:bCs/>
        </w:rPr>
        <w:t xml:space="preserve">Caveat:</w:t>
      </w:r>
      <w:r>
        <w:t xml:space="preserve"> The </w:t>
      </w:r>
      <w:r>
        <w:rPr>
          <w:i/>
          <w:iCs/>
        </w:rPr>
        <w:t xml:space="preserve">observable</w:t>
      </w:r>
      <w:r>
        <w:t xml:space="preserve"> drift (post-governance-filter) may be lower than the intrinsic drift due to selection bias—governance removes high-drift actions. Proposition 3.4.5 concerns intrinsic drift only. This is conservative for safety, but means BBR baselines should be calibrated against governed action histories, not the intrinsic drift model. □</w:t>
      </w:r>
    </w:p>
    <w:p>
      <w:pPr>
        <w:spacing w:after="120" w:line="276"/>
        <w:ind w:left="360"/>
        <w:jc w:val="both"/>
      </w:pPr>
      <w:r>
        <w:rPr>
          <w:b/>
          <w:bCs/>
        </w:rPr>
        <w:t xml:space="preserve">Remark 3.4.7</w:t>
      </w:r>
      <w:r>
        <w:t xml:space="preserve"> (Partial Decorrelation — Design Principle). </w:t>
      </w:r>
      <w:r>
        <w:rPr>
          <w:i/>
          <w:iCs/>
        </w:rPr>
        <w:t xml:space="preserve">The use of a separate governance LLM in Path G is motivated by the conditional independence assumption (C5) in ABC Theorem 4.11 [1]. In a single-model architecture where the same LLM serves as both the agent and its governance evaluator, failures are maximally correlated (ρ = 1): any systematic failure mode of the LLM (hallucination, instruction-following failure, distribution shift) simultaneously compromises both the agent and its oversight. The dual-path design introduces architectural decorrelation by using a distinct model for governance evaluation.</w:t>
      </w:r>
    </w:p>
    <w:p>
      <w:pPr>
        <w:spacing w:after="120" w:line="276"/>
        <w:jc w:val="both"/>
      </w:pPr>
      <w:r>
        <w:rPr>
          <w:i/>
          <w:iCs/>
        </w:rPr>
        <w:t xml:space="preserve">This is a design principle, not a formal result.</w:t>
      </w:r>
      <w:r>
        <w:t xml:space="preserve"> Two independently trained LLMs may still exhibit correlated failures on the same input distribution. Full independence (ρ = 0) is not claimed. The dual-path design </w:t>
      </w:r>
      <w:r>
        <w:rPr>
          <w:i/>
          <w:iCs/>
        </w:rPr>
        <w:t xml:space="preserve">enables</w:t>
      </w:r>
      <w:r>
        <w:t xml:space="preserve"> decorrelation by making it architecturally possible to select governance models with complementary failure profiles, but does not </w:t>
      </w:r>
      <w:r>
        <w:rPr>
          <w:i/>
          <w:iCs/>
        </w:rPr>
        <w:t xml:space="preserve">guarantee</w:t>
      </w:r>
      <w:r>
        <w:t xml:space="preserve"> it. Quantifying achievable decorrelation for specific model pairs is future work.</w:t>
      </w:r>
    </w:p>
    <w:p>
      <w:pPr>
        <w:pStyle w:val="Heading2"/>
        <w:spacing w:after="160" w:before="240"/>
      </w:pPr>
      <w:r>
        <w:rPr>
          <w:b/>
          <w:bCs/>
        </w:rPr>
        <w:t xml:space="preserve">3.5 AI Bill of Materials</w:t>
      </w:r>
    </w:p>
    <w:p>
      <w:pPr>
        <w:spacing w:after="120" w:line="276"/>
        <w:ind w:left="360"/>
        <w:jc w:val="both"/>
      </w:pPr>
      <w:r>
        <w:rPr>
          <w:b/>
          <w:bCs/>
        </w:rPr>
        <w:t xml:space="preserve">Definition 3.5.1</w:t>
      </w:r>
      <w:r>
        <w:t xml:space="preserve"> (AIBOM). An AI Bill of Materials is a cryptographically signed manifest containing: model provenance (training data lineage, architecture version, fine-tuning history), tool inventory (MCP servers, API endpoints, capability scopes), policy binding (OPA/Rego bundle hashes), behavioral baseline reference (BBR snapshot hash), and AIM credential chain (agent → supervisor → department → authorization boundary). Integrity is verified through hash chain validation at every ATK evaluation.</w:t>
      </w:r>
    </w:p>
    <w:p>
      <w:pPr>
        <w:spacing w:after="120" w:line="276"/>
        <w:ind w:left="360"/>
        <w:jc w:val="both"/>
      </w:pPr>
      <w:r>
        <w:rPr>
          <w:b/>
          <w:bCs/>
        </w:rPr>
        <w:t xml:space="preserve">Design Invariant 3.5.2</w:t>
      </w:r>
      <w:r>
        <w:t xml:space="preserve"> (AIBOM Consistency). </w:t>
      </w:r>
      <w:r>
        <w:rPr>
          <w:i/>
          <w:iCs/>
        </w:rPr>
        <w:t xml:space="preserve">If AIBOM hash verification fails at any ATK evaluation, the agent is immediately degraded to A0 (Inert) with no override mechanism. Formally: ∀t, if H(AIBOM(t)) ≠ H</w:t>
      </w:r>
      <w:r>
        <w:rPr>
          <w:vertAlign w:val="subscript"/>
        </w:rPr>
        <w:t xml:space="preserve">ref</w:t>
      </w:r>
      <w:r>
        <w:rPr>
          <w:i/>
          <w:iCs/>
        </w:rPr>
        <w:t xml:space="preserve">, then level(t+1) = A0.</w:t>
      </w:r>
    </w:p>
    <w:p>
      <w:pPr>
        <w:spacing w:after="120" w:line="276"/>
        <w:jc w:val="both"/>
      </w:pPr>
      <w:r>
        <w:rPr>
          <w:i/>
          <w:iCs/>
        </w:rPr>
        <w:t xml:space="preserve">Verification.</w:t>
      </w:r>
      <w:r>
        <w:t xml:space="preserve"> By construction. The ATK checks AIBOM integrity in envelope E1 before capability or policy evaluation. Hash failure triggers unconditional QUARANTINE + A0 degradation with no override path. □</w:t>
      </w:r>
    </w:p>
    <w:p>
      <w:pPr>
        <w:pStyle w:val="Heading2"/>
        <w:spacing w:after="160" w:before="240"/>
      </w:pPr>
      <w:r>
        <w:rPr>
          <w:b/>
          <w:bCs/>
        </w:rPr>
        <w:t xml:space="preserve">3.6 Governed Learning Loop</w:t>
      </w:r>
    </w:p>
    <w:p>
      <w:pPr>
        <w:spacing w:after="120" w:line="276"/>
        <w:ind w:left="360"/>
        <w:jc w:val="both"/>
      </w:pPr>
      <w:r>
        <w:rPr>
          <w:b/>
          <w:bCs/>
        </w:rPr>
        <w:t xml:space="preserve">Definition 3.6.1</w:t>
      </w:r>
      <w:r>
        <w:t xml:space="preserve"> (GLL Protocol). The Governed Learning Loop manages agent adaptation through a four-phase cycle: (1) proposal (agent or operator proposes behavioral update), (2) sandbox evaluation (update is tested in an isolated environment against the current policy bundle), (3) evidence generation (sandbox results are recorded in the evidence ledger), and (4) conditional application (update is applied only if sandbox results satisfy promotion gate criteria G1–G4, with human authorization G5 required for updates that would change the agent’s autonomy level).</w:t>
      </w:r>
    </w:p>
    <w:p>
      <w:pPr>
        <w:spacing w:after="120" w:line="276"/>
        <w:ind w:left="360"/>
        <w:jc w:val="both"/>
      </w:pPr>
      <w:r>
        <w:rPr>
          <w:b/>
          <w:bCs/>
        </w:rPr>
        <w:t xml:space="preserve">Proposition 3.6.3</w:t>
      </w:r>
      <w:r>
        <w:t xml:space="preserve"> (Bounded Drift Invariance Under Adaptation). </w:t>
      </w:r>
      <w:r>
        <w:rPr>
          <w:i/>
          <w:iCs/>
        </w:rPr>
        <w:t xml:space="preserve">Under the GLL protocol, the behavioral drift D(t) remains bounded by the current level’s threshold across any adaptation event: for all t in the neighborhood of a GLL update point t</w:t>
      </w:r>
      <w:r>
        <w:rPr>
          <w:vertAlign w:val="subscript"/>
        </w:rPr>
        <w:t xml:space="preserve">0</w:t>
      </w:r>
      <w:r>
        <w:rPr>
          <w:i/>
          <w:iCs/>
        </w:rPr>
        <w:t xml:space="preserve">, D(t) &lt; θ</w:t>
      </w:r>
      <w:r>
        <w:rPr>
          <w:vertAlign w:val="subscript"/>
        </w:rPr>
        <w:t xml:space="preserve">n</w:t>
      </w:r>
      <w:r>
        <w:rPr>
          <w:i/>
          <w:iCs/>
        </w:rPr>
        <w:t xml:space="preserve"> where A</w:t>
      </w:r>
      <w:r>
        <w:rPr>
          <w:vertAlign w:val="subscript"/>
        </w:rPr>
        <w:t xml:space="preserve">n</w:t>
      </w:r>
      <w:r>
        <w:rPr>
          <w:i/>
          <w:iCs/>
        </w:rPr>
        <w:t xml:space="preserve"> is the agent’s autonomy level. That is, adaptation cannot cause drift to exceed the governing threshold, even transiently.</w:t>
      </w:r>
    </w:p>
    <w:p>
      <w:pPr>
        <w:spacing w:after="120" w:line="276"/>
        <w:jc w:val="both"/>
      </w:pPr>
      <w:r>
        <w:rPr>
          <w:i/>
          <w:iCs/>
        </w:rPr>
        <w:t xml:space="preserve">Proof sketch.</w:t>
      </w:r>
      <w:r>
        <w:t xml:space="preserve"> The GLL sandbox (Definition 3.6.1, phase 2) observes the post-update drift D′(t) before application. Phase 4 rejects updates where sup</w:t>
      </w:r>
      <w:r>
        <w:rPr>
          <w:vertAlign w:val="subscript"/>
        </w:rPr>
        <w:t xml:space="preserve">t ∈ sandbox</w:t>
      </w:r>
      <w:r>
        <w:t xml:space="preserve"> D′(t) ≥ θ</w:t>
      </w:r>
      <w:r>
        <w:rPr>
          <w:vertAlign w:val="subscript"/>
        </w:rPr>
        <w:t xml:space="preserve">n</w:t>
      </w:r>
      <w:r>
        <w:t xml:space="preserve">. This guarantees </w:t>
      </w:r>
      <w:r>
        <w:rPr>
          <w:i/>
          <w:iCs/>
        </w:rPr>
        <w:t xml:space="preserve">boundedness</w:t>
      </w:r>
      <w:r>
        <w:t xml:space="preserve"> (D(t) &lt; θ</w:t>
      </w:r>
      <w:r>
        <w:rPr>
          <w:vertAlign w:val="subscript"/>
        </w:rPr>
        <w:t xml:space="preserve">n</w:t>
      </w:r>
      <w:r>
        <w:t xml:space="preserve"> across updates) but not </w:t>
      </w:r>
      <w:r>
        <w:rPr>
          <w:i/>
          <w:iCs/>
        </w:rPr>
        <w:t xml:space="preserve">continuity</w:t>
      </w:r>
      <w:r>
        <w:t xml:space="preserve">: the OU parameters may shift discontinuously (e.g., a prompt change altering the long-run mean), producing a jump in D* that nonetheless remains below θ</w:t>
      </w:r>
      <w:r>
        <w:rPr>
          <w:vertAlign w:val="subscript"/>
        </w:rPr>
        <w:t xml:space="preserve">n</w:t>
      </w:r>
      <w:r>
        <w:t xml:space="preserve">. □</w:t>
      </w:r>
    </w:p>
    <w:p>
      <w:pPr>
        <w:spacing w:after="120" w:line="276"/>
        <w:ind w:left="360"/>
        <w:jc w:val="both"/>
      </w:pPr>
      <w:r>
        <w:rPr>
          <w:b/>
          <w:bCs/>
        </w:rPr>
        <w:t xml:space="preserve">Design Invariant 3.6.4</w:t>
      </w:r>
      <w:r>
        <w:t xml:space="preserve"> (Rollback Safety). </w:t>
      </w:r>
      <w:r>
        <w:rPr>
          <w:i/>
          <w:iCs/>
        </w:rPr>
        <w:t xml:space="preserve">GLL rollback restores the agent to its pre-update behavioral state (restoration, not mutation). Formally: if rollback is triggered at time t</w:t>
      </w:r>
      <w:r>
        <w:rPr>
          <w:vertAlign w:val="subscript"/>
        </w:rPr>
        <w:t xml:space="preserve">r</w:t>
      </w:r>
      <w:r>
        <w:rPr>
          <w:i/>
          <w:iCs/>
        </w:rPr>
        <w:t xml:space="preserve">, then the agent’s configuration at t</w:t>
      </w:r>
      <w:r>
        <w:rPr>
          <w:vertAlign w:val="subscript"/>
        </w:rPr>
        <w:t xml:space="preserve">r</w:t>
      </w:r>
      <w:r>
        <w:rPr>
          <w:i/>
          <w:iCs/>
        </w:rPr>
        <w:t xml:space="preserve">+ ε is identical to its configuration at t</w:t>
      </w:r>
      <w:r>
        <w:rPr>
          <w:vertAlign w:val="subscript"/>
        </w:rPr>
        <w:t xml:space="preserve">0</w:t>
      </w:r>
      <w:r>
        <w:rPr>
          <w:i/>
          <w:iCs/>
        </w:rPr>
        <w:t xml:space="preserve"> − ε, where t</w:t>
      </w:r>
      <w:r>
        <w:rPr>
          <w:vertAlign w:val="subscript"/>
        </w:rPr>
        <w:t xml:space="preserve">0</w:t>
      </w:r>
      <w:r>
        <w:rPr>
          <w:i/>
          <w:iCs/>
        </w:rPr>
        <w:t xml:space="preserve"> is the update application time.</w:t>
      </w:r>
    </w:p>
    <w:p>
      <w:pPr>
        <w:spacing w:after="120" w:line="276"/>
        <w:jc w:val="both"/>
      </w:pPr>
      <w:r>
        <w:rPr>
          <w:i/>
          <w:iCs/>
        </w:rPr>
        <w:t xml:space="preserve">Verification.</w:t>
      </w:r>
      <w:r>
        <w:t xml:space="preserve"> By construction. The GLL maintains a complete configuration snapshot prior to each update. Rollback atomically replaces the current configuration with the snapshot; no partial application is possible. This requires that the configuration state (model weights, prompt templates, tool bindings, policy bundle references) is stored as a single versioned object with transactional restore. □</w:t>
      </w:r>
    </w:p>
    <w:p>
      <w:pPr>
        <w:pStyle w:val="Heading2"/>
        <w:spacing w:after="160" w:before="240"/>
      </w:pPr>
      <w:r>
        <w:rPr>
          <w:b/>
          <w:bCs/>
        </w:rPr>
        <w:t xml:space="preserve">3.7 Operational Subsystems</w:t>
      </w:r>
    </w:p>
    <w:p>
      <w:pPr>
        <w:spacing w:after="120" w:line="276"/>
        <w:jc w:val="both"/>
      </w:pPr>
      <w:r>
        <w:t xml:space="preserve">ARHIA v11.4 introduces three operational subsystems that extend the core mechanisms described above.</w:t>
      </w:r>
    </w:p>
    <w:p>
      <w:pPr>
        <w:spacing w:after="120" w:line="276"/>
        <w:jc w:val="both"/>
      </w:pPr>
      <w:r>
        <w:rPr>
          <w:b/>
          <w:bCs/>
        </w:rPr>
        <w:t xml:space="preserve">Agent Identity Module (AIM).</w:t>
      </w:r>
      <w:r>
        <w:t xml:space="preserve"> AIM provides NHI-compatible (Non-Human Identity) credentials with a four-layer composite identity chain: Agent → Supervisor → Department → Authorization Boundary. Each agent identity comprises ten fields and follows a six-phase lifecycle (provisioning, activation, rotation, suspension, revocation, retirement). AIM integrates with the ATK through envelope E1, ensuring that every governance evaluation begins with identity verification.</w:t>
      </w:r>
    </w:p>
    <w:p>
      <w:pPr>
        <w:spacing w:after="120" w:line="276"/>
        <w:jc w:val="both"/>
      </w:pPr>
      <w:r>
        <w:rPr>
          <w:b/>
          <w:bCs/>
        </w:rPr>
        <w:t xml:space="preserve">Cross-Domain Correlator (D-TCG+ v2).</w:t>
      </w:r>
      <w:r>
        <w:t xml:space="preserve"> The Defensive Tool Call Graph has been extended with four-layer telemetry (Network, Prompt, Tool Call, Data Access) and a Cross-Layer Anomaly Score (CLAS) computed from ten correlation rules mapped to OWASP ASI categories. D-TCG+ feeds anomaly signals into the ATK’s behavioral consistency envelope (E4) and triggers incident playbooks when CLAS exceeds configured thresholds. The Behavioral Baseline Registry (BBR) maintains per-agent behavioral profiles with 11-field schemas and deviation thresholds calibrated by autonomy level (2.0σ at A1 to 3.5σ at A4). The calibration reflects the TRIZ-derived principle that higher-autonomy agents have demonstrated more stable behavior and thus warrant wider tolerance bands, while lower-autonomy agents require tighter monitoring to detect drift early in their operational lifecycle.</w:t>
      </w:r>
    </w:p>
    <w:p>
      <w:pPr>
        <w:spacing w:after="120" w:line="276"/>
        <w:jc w:val="both"/>
      </w:pPr>
      <w:r>
        <w:rPr>
          <w:b/>
          <w:bCs/>
        </w:rPr>
        <w:t xml:space="preserve">Evidence Generation Architecture (EGA).</w:t>
      </w:r>
      <w:r>
        <w:t xml:space="preserve"> EGA formalizes five evidence types: LOG (operational records), ATT (attestation records), MET (metrics), APR (approval records), and TST (test results), all serialized in JSON-LD with HMAC chain-of-custody. A three-tier jurisdiction-aware retention policy (7/3/1 years) ensures evidence is maintained in compliance with sector-specific regulatory requirements. The choice of JSON-LD as the serialization format enables semantic interoperability: evidence records can be consumed by external audit systems, regulatory technology platforms, and compliance dashboards without format translation. The Incident Playbook Mapper (IPM) provides ten structured playbooks aligned to OWASP ASI categories, each following a six-phase incident response structure (detection, triage, containment, investigation, remediation, post-incident review). Playbooks are parameterized by autonomy level: an incident at A4 triggers different response procedures than the same incident at A1, reflecting the different risk profiles and supervisory requirements at each level.</w:t>
      </w:r>
    </w:p>
    <w:p>
      <w:pPr>
        <w:spacing w:after="80" w:before="200"/>
        <w:jc w:val="both"/>
      </w:pPr>
      <w:r>
        <w:rPr>
          <w:i/>
          <w:iCs/>
        </w:rPr>
        <w:t xml:space="preserve">Table 2.</w:t>
      </w:r>
      <w:r>
        <w:t xml:space="preserve"> ARHIA mechanism summary. Prop = Proposition (formal result with proof sketch); Inv = Design Invariant (verified by construction); Rmk = Remark (engineering characterization or design principle).</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800"/>
        <w:gridCol w:w="1400"/>
      </w:tblGrid>
      <w:tr>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Mechanism</w:t>
            </w:r>
          </w:p>
        </w:tc>
        <w:tc>
          <w:tcPr>
            <w:tcW w:type="dxa" w:w="11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Plane</w:t>
            </w:r>
          </w:p>
        </w:tc>
        <w:tc>
          <w:tcPr>
            <w:tcW w:type="dxa" w:w="2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Formal Result</w:t>
            </w:r>
          </w:p>
        </w:tc>
        <w:tc>
          <w:tcPr>
            <w:tcW w:type="dxa" w:w="1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Policy Bundles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A0–A4 Autonomy Scale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Execution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Prop 3.3.4′, Prop 3.3.7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5 (level config)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Dual-Path Engine (ATK)</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Control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Rmk 3.4.3, Inv 3.4.4, Prop 3.4.5, Rmk 3.4.7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3 (auth policies)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AIBOM</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Trust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Inv 3.5.2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2 (integrity)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Governed Learning Loop</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Execution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Prop 3.6.3, Inv 3.6.4</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2 (GLL policies)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AIM</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Trust</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 (operational)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2 (identity)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D-TCG+ / BBR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Control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 (operational)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3 (correlation)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EGA / IPM</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Execution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 (operational)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2 (evidence)</w:t>
            </w:r>
          </w:p>
        </w:tc>
      </w:tr>
    </w:tbl>
    <w:p>
      <w:r>
        <w:br w:type="page"/>
      </w:r>
    </w:p>
    <w:p>
      <w:pPr>
        <w:pStyle w:val="Heading1"/>
        <w:spacing w:after="160" w:before="360"/>
      </w:pPr>
      <w:r>
        <w:rPr>
          <w:b/>
          <w:bCs/>
        </w:rPr>
        <w:t xml:space="preserve">4. Regulatory Instantiation: Financial Services</w:t>
      </w:r>
    </w:p>
    <w:p>
      <w:pPr>
        <w:pStyle w:val="Heading2"/>
        <w:spacing w:after="160" w:before="240"/>
      </w:pPr>
      <w:r>
        <w:rPr>
          <w:b/>
          <w:bCs/>
        </w:rPr>
        <w:t xml:space="preserve">4.1 The Agentic Distinction</w:t>
      </w:r>
    </w:p>
    <w:p>
      <w:pPr>
        <w:spacing w:after="120" w:line="276"/>
        <w:jc w:val="both"/>
      </w:pPr>
      <w:r>
        <w:t xml:space="preserve">FINRA’s 2026 Annual Regulatory Oversight Report [9] draws a critical distinction between generative AI content tools (which produce outputs for human review) and agentic AI systems (which execute autonomous workflows with real-world consequences). </w:t>
      </w:r>
      <w:r>
        <w:t xml:space="preserve">The report identifies seven agent risk categories requiring specific supervisory controls: Autonomy, Scope/Authority, Auditability, Data Sensitivity, Domain Knowledge, Rewards/Reinforcement, and Unique GenAI Risks. </w:t>
      </w:r>
      <w:r>
        <w:t xml:space="preserve">This distinction has immediate regulatory implications: FINRA Rules 3110/3120 (Supervision) require that firms establish supervisory systems “reasonably designed” to prevent violations—a standard that SEC Chairman Atkins has indicated extends to agentic architectures [19]. </w:t>
      </w:r>
      <w:r>
        <w:t xml:space="preserve">Rule 4511 and SEC Rule 17a-4 require complete reconstruction records of all communications and transactions, which for agentic systems implies full-chain telemetry of every autonomous decision [15, 16]. </w:t>
      </w:r>
      <w:r>
        <w:t xml:space="preserve">Objective function review—compliance testing of an AI’s goal-seeking behavior—is emerging as a new supervisory requirement [20].</w:t>
      </w:r>
    </w:p>
    <w:p>
      <w:pPr>
        <w:spacing w:after="120" w:line="276"/>
        <w:jc w:val="both"/>
      </w:pPr>
      <w:r>
        <w:t xml:space="preserve">ARHIA’s 14-component architecture maps to all seven risk categories: Autonomy (A0–A4), Scope/Authority (ATK E2), Auditability (EGA + HMAC), Data Sensitivity (OPA/Rego), Domain Knowledge (AIBOM), Rewards/Reinforcement (GLL + BBR deviation), and Unique GenAI Risks (D-TCG+ correlation mapped to OWASP ASI [29]). No alternative framework covers more than three of the seven.</w:t>
      </w:r>
    </w:p>
    <w:p>
      <w:pPr>
        <w:pStyle w:val="Heading2"/>
        <w:spacing w:after="160" w:before="240"/>
      </w:pPr>
      <w:r>
        <w:rPr>
          <w:b/>
          <w:bCs/>
        </w:rPr>
        <w:t xml:space="preserve">4.2 Regulatory Mapping</w:t>
      </w:r>
    </w:p>
    <w:p>
      <w:pPr>
        <w:spacing w:after="120" w:line="276"/>
        <w:jc w:val="both"/>
      </w:pPr>
      <w:r>
        <w:t xml:space="preserve">Table 3 presents the regulatory mapping between FINRA/SEC requirements for agentic AI and ARHIA components, compared with three alternative frameworks.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700"/>
        <w:gridCol w:w="700"/>
        <w:gridCol w:w="70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FINRA/SEC Requirement</w:t>
            </w:r>
          </w:p>
        </w:tc>
        <w:tc>
          <w:tcPr>
            <w:tcW w:type="dxa" w:w="2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ARHIA Component</w:t>
            </w:r>
          </w:p>
        </w:tc>
        <w:tc>
          <w:tcPr>
            <w:tcW w:type="dxa" w:w="7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ABC</w:t>
            </w:r>
          </w:p>
        </w:tc>
        <w:tc>
          <w:tcPr>
            <w:tcW w:type="dxa" w:w="7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ACP</w:t>
            </w:r>
          </w:p>
        </w:tc>
        <w:tc>
          <w:tcPr>
            <w:tcW w:type="dxa" w:w="7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GaaS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Supervisory system (Rule 3110)</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ATK + A0–A4 + dual-path</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Designated supervisor (Rule 3110)</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AIM 4-layer chain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Review procedures (Rule 3120)</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D-TCG+ + BBR + IPM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Reconstruction records (Rule 4511)</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EGA + HMAC ledger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Records preservation (17a-4)</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EGA 3-tier retention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Communications review (Rule 2210)</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ATK E3 (policy compliance)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Reg BI suitability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ATK E2 (capability scope)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Agent risk classification</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A0–A4 scale + BBR</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Objective function review</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GLL sandbox + BBR deviation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Model tracking / provenance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AIBOM + AIM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Human-in-the-loop</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A0–A2 mandatory oversight</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Data sensitivity controls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ATK E2 + OPA/Rego data policies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Autonomous scope limits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ATK E2 capability scope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Incident response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IPM + D-TCG+ correlation</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r>
    </w:tbl>
    <w:p>
      <w:pPr>
        <w:spacing w:after="200" w:before="80"/>
        <w:jc w:val="both"/>
      </w:pPr>
      <w:r>
        <w:rPr>
          <w:i/>
          <w:iCs/>
        </w:rPr>
        <w:t xml:space="preserve">Table 3.</w:t>
      </w:r>
      <w:r>
        <w:t xml:space="preserve"> FINRA/SEC requirement coverage (architectural design intent). ARHIA is architecturally designed to satisfy 14/14 requirements; ABC covers 3/14, ACP covers 2/14, GaaS covers 3/14. The coverage differential is driven primarily by ARHIA’s evidence architecture (EGA), identity model (AIM), and behavioral monitoring subsystem (D-TCG+/BBR), which have no equivalents in alternative frameworks. These mappings reflect architectural design, not regulatory validation: confirmation by compliance officers and regulators remains future work.</w:t>
      </w:r>
    </w:p>
    <w:p>
      <w:pPr>
        <w:pStyle w:val="Heading2"/>
        <w:spacing w:after="160" w:before="240"/>
      </w:pPr>
      <w:r>
        <w:rPr>
          <w:b/>
          <w:bCs/>
        </w:rPr>
        <w:t xml:space="preserve">4.3 Reference Implementation</w:t>
      </w:r>
    </w:p>
    <w:p>
      <w:pPr>
        <w:spacing w:after="120" w:line="276"/>
        <w:jc w:val="both"/>
      </w:pPr>
      <w:r>
        <w:t xml:space="preserve">To illustrate: an AdvisorAgent initialized at A1 (Supervised) has its AIBOM recording provenance and FinServ policy binding. Every client interaction triggers ATK evaluation across all five envelopes: identity (AIM chain: agent → supervisor → compliance → broker-dealer), capability scope (advisory only, per Reg BI [18]), policy compliance (OPA/Rego FinServ bundle, Rule 2210 [17]), behavioral consistency (BBR baseline), and evidence requirements (all five EGA types committed to HMAC ledger).</w:t>
      </w:r>
    </w:p>
    <w:p>
      <w:pPr>
        <w:spacing w:after="120" w:line="276"/>
        <w:jc w:val="both"/>
      </w:pPr>
      <w:r>
        <w:t xml:space="preserve">D-TCG+ continuously correlates tool call patterns, detecting cross-layer anomalies (e.g., out-of-scope data access combined with unusual order volume) even when individual actions pass policy checks—addressing FINRA’s objective function review concern through continuous behavioral monitoring. After sustained performance within drift bounds and satisfaction of all five promotion gates, the agent may be promoted to A2, with complete interaction history preserved for the 7-year regulatory retention period [16].</w:t>
      </w:r>
    </w:p>
    <w:p>
      <w:pPr>
        <w:pStyle w:val="Heading2"/>
        <w:spacing w:after="160" w:before="240"/>
      </w:pPr>
      <w:r>
        <w:rPr>
          <w:b/>
          <w:bCs/>
        </w:rPr>
        <w:t xml:space="preserve">4.4 Maturity Model Harmonization</w:t>
      </w:r>
    </w:p>
    <w:p>
      <w:pPr>
        <w:spacing w:after="120" w:line="276"/>
        <w:jc w:val="both"/>
      </w:pPr>
      <w:r>
        <w:t xml:space="preserve">Six independently developed maturity models have emerged for assessing agentic AI readiness. Table 4 presents a harmonized mapping to ARHIA’s A0–A4 scale, demonstrating that the discrete autonomy levels provide a unifying vocabulary across the fragmented maturity landscape.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100"/>
        <w:gridCol w:w="1400"/>
        <w:gridCol w:w="1260"/>
        <w:gridCol w:w="1200"/>
        <w:gridCol w:w="1100"/>
      </w:tblGrid>
      <w:tr>
        <w:tc>
          <w:tcPr>
            <w:tcW w:type="dxa" w:w="11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ARHIA</w:t>
            </w:r>
          </w:p>
        </w:tc>
        <w:tc>
          <w:tcPr>
            <w:tcW w:type="dxa" w:w="1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CSA ATF [28]</w:t>
            </w:r>
          </w:p>
        </w:tc>
        <w:tc>
          <w:tcPr>
            <w:tcW w:type="dxa" w:w="11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NVIDIA [50]</w:t>
            </w:r>
          </w:p>
        </w:tc>
        <w:tc>
          <w:tcPr>
            <w:tcW w:type="dxa" w:w="1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KPMG TACO [35]</w:t>
            </w:r>
          </w:p>
        </w:tc>
        <w:tc>
          <w:tcPr>
            <w:tcW w:type="dxa" w:w="12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McKinsey [37]</w:t>
            </w:r>
          </w:p>
        </w:tc>
        <w:tc>
          <w:tcPr>
            <w:tcW w:type="dxa" w:w="1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SGP MGF [30]</w:t>
            </w:r>
          </w:p>
        </w:tc>
        <w:tc>
          <w:tcPr>
            <w:tcW w:type="dxa" w:w="11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ARISE [32]</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A0 Inert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1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Level 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Assess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A1 Supervised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Intern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Tasker</w:t>
            </w:r>
          </w:p>
        </w:tc>
        <w:tc>
          <w:tcPr>
            <w:tcW w:type="dxa" w:w="1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Level 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Dim 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Govern</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A2 Guided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Junior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L1–L2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Automator</w:t>
            </w:r>
          </w:p>
        </w:tc>
        <w:tc>
          <w:tcPr>
            <w:tcW w:type="dxa" w:w="1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Level 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Dim 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Protect</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A3 Autonomous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Senior/Lead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L2–L3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Collaborator</w:t>
            </w:r>
          </w:p>
        </w:tc>
        <w:tc>
          <w:tcPr>
            <w:tcW w:type="dxa" w:w="1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Level 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Dim 3</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Detect/Respond</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A4 Adaptive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Principal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Orchestrator</w:t>
            </w:r>
          </w:p>
        </w:tc>
        <w:tc>
          <w:tcPr>
            <w:tcW w:type="dxa" w:w="1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Level 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Dim 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Recover</w:t>
            </w:r>
          </w:p>
        </w:tc>
      </w:tr>
    </w:tbl>
    <w:p>
      <w:pPr>
        <w:spacing w:after="200" w:before="80"/>
        <w:jc w:val="both"/>
      </w:pPr>
      <w:r>
        <w:rPr>
          <w:i/>
          <w:iCs/>
        </w:rPr>
        <w:t xml:space="preserve">Table 4.</w:t>
      </w:r>
      <w:r>
        <w:t xml:space="preserve"> Six-model maturity harmonization. ARHIA’s A0–A4 scale provides a common reference point across CSA ATF [28], NVIDIA Agentic Autonomy [50], KPMG TACO [35], McKinsey RAI Trust Maturity [37], Singapore MGF [30], and ARISE [32]. The harmonization is approximate; each model emphasizes different dimensions (CSA ATF focuses on trust maturity, KPMG TACO on task complexity, McKinsey on organizational readiness).</w:t>
      </w:r>
    </w:p>
    <w:p>
      <w:pPr>
        <w:pStyle w:val="Heading1"/>
        <w:spacing w:after="160" w:before="360"/>
      </w:pPr>
      <w:r>
        <w:rPr>
          <w:b/>
          <w:bCs/>
        </w:rPr>
        <w:t xml:space="preserve">5. Multi-Sector Generalization</w:t>
      </w:r>
    </w:p>
    <w:p>
      <w:pPr>
        <w:pStyle w:val="Heading2"/>
        <w:spacing w:after="160" w:before="240"/>
      </w:pPr>
      <w:r>
        <w:rPr>
          <w:b/>
          <w:bCs/>
        </w:rPr>
        <w:t xml:space="preserve">5.1 Maritime: PORT-MAS and IMO MASS Code</w:t>
      </w:r>
    </w:p>
    <w:p>
      <w:pPr>
        <w:spacing w:after="120" w:line="276"/>
        <w:jc w:val="both"/>
      </w:pPr>
      <w:r>
        <w:t xml:space="preserve">The International Maritime Organization’s Maritime Autonomous Surface Ships (MASS) Code [22] defines four degrees of autonomy (Degree 1: crew on board with decision support; Degree 2: remotely controlled with crew; Degree 3: remotely controlled without crew; Degree 4: fully autonomous). </w:t>
      </w:r>
      <w:r>
        <w:t xml:space="preserve">ARHIA maps directly: MASS Degree 1 → A1 (Supervised), Degree 2 → A2 (Guided), Degree 3 → A3 (Autonomous), Degree 4 → A4 (Adaptive). </w:t>
      </w:r>
      <w:r>
        <w:t xml:space="preserve">The ISM Code’s requirements for safety management systems (§10: maintenance, §11: documentation, §8: emergency preparedness) map to AIBOM (maintenance of agent provenance and configuration records), EGA (documentation of all autonomous decisions and evidence generation), and IPM (emergency response playbooks for agent failures) respectively.</w:t>
      </w:r>
    </w:p>
    <w:p>
      <w:pPr>
        <w:spacing w:after="120" w:line="276"/>
        <w:jc w:val="both"/>
      </w:pPr>
      <w:r>
        <w:t xml:space="preserve">PORT-MAS, a multi-agent port logistics system built on ARHIA, demonstrates this mapping for mid-size Latin American ports. </w:t>
      </w:r>
      <w:r>
        <w:t xml:space="preserve">Cargo orchestration agents operate under A2–A3 governance with maritime-specific OPA/Rego bundles that encode customs regulations, SLA constraints, and berth allocation policies. </w:t>
      </w:r>
      <w:r>
        <w:t xml:space="preserve">The system illustrates a key architectural property: the same ATK, the same five-envelope structure, and the same evidence chain that govern a financial advisory agent also govern a cargo orchestration agent—only the policy bundles differ. </w:t>
      </w:r>
      <w:r>
        <w:t xml:space="preserve">This sector-agnosticism is not accidental; it is a direct consequence of the TRIZ-derived architecture, where the core mechanisms (segmentation, separation in space, prior action, separation in time) are domain-independent resolution strategies for the autonomy–compliance contradiction.</w:t>
      </w:r>
    </w:p>
    <w:p>
      <w:pPr>
        <w:pStyle w:val="Heading2"/>
        <w:spacing w:after="160" w:before="240"/>
      </w:pPr>
      <w:r>
        <w:rPr>
          <w:b/>
          <w:bCs/>
        </w:rPr>
        <w:t xml:space="preserve">5.2 Aviation and Electric Grid</w:t>
      </w:r>
    </w:p>
    <w:p>
      <w:pPr>
        <w:spacing w:after="120" w:line="276"/>
        <w:jc w:val="both"/>
      </w:pPr>
      <w:r>
        <w:t xml:space="preserve">In aviation, DO-178C [23] defines five Design Assurance Levels (DAL A through E) for software in airborne systems. The DAL hierarchy maps inversely to ARHIA’s autonomy scale: DAL A (catastrophic failure condition) corresponds to A1 (maximum governance constraint), while DAL E (no safety effect) corresponds to A4 (minimum governance overhead). </w:t>
      </w:r>
      <w:r>
        <w:t xml:space="preserve">Change Impact Analysis requirements—a cornerstone of DO-178C certification—map to the GLL sandbox protocol, where behavioral updates are tested in isolation before deployment. </w:t>
      </w:r>
      <w:r>
        <w:t xml:space="preserve">Configuration management requirements map to AIBOM versioning, ensuring that every deployed agent configuration is traceable to a specific model version, training lineage, and policy bundle. </w:t>
      </w:r>
      <w:r>
        <w:t xml:space="preserve">The fail-safe and reversionary mode requirements in DO-178C are structurally satisfied by the ATK’s fail-closed design (Invariant 3.4.4) and the GLL’s rollback safety guarantee (Invariant 3.6.4), which ensure that governance failures always result in safe degradation rather than uncontrolled agent behavior.</w:t>
      </w:r>
    </w:p>
    <w:p>
      <w:pPr>
        <w:spacing w:after="120" w:line="276"/>
        <w:jc w:val="both"/>
      </w:pPr>
      <w:r>
        <w:t xml:space="preserve">For the electric grid, NERC CIP standards [24] define configuration change management (CIP-010 R1), vulnerability assessment (CIP-010 R2), and Bulk Electric System (BES) impact categories that map to ARHIA’s A0–A4 scale by criticality. </w:t>
      </w:r>
      <w:r>
        <w:t xml:space="preserve">CIP-010 R1.2–R1.3 (change management) maps to GLL, and CIP-010 R2 (runtime guardrails) maps to the ATK’s fail-closed design (Invariant 3.4.4). </w:t>
      </w:r>
      <w:r>
        <w:t xml:space="preserve">The BES impact categories (High, Medium, Low) provide a natural three-level mapping to A2–A4, with A0 reserved for untested agents and A1 for agents in initial evaluation. </w:t>
      </w:r>
      <w:r>
        <w:t xml:space="preserve">Grid-specific OPA/Rego bundles encode the particular constraints of critical infrastructure protection: frequency response requirements, cascading failure prevention rules, and inter-area power transfer limits. </w:t>
      </w:r>
      <w:r>
        <w:t xml:space="preserve">These sector-specific policies operate within the same ATK evaluation framework used for financial services and maritime—the architecture remains invariant.</w:t>
      </w:r>
    </w:p>
    <w:p>
      <w:pPr>
        <w:pStyle w:val="Heading2"/>
        <w:spacing w:after="160" w:before="240"/>
      </w:pPr>
      <w:r>
        <w:rPr>
          <w:b/>
          <w:bCs/>
        </w:rPr>
        <w:t xml:space="preserve">5.3 Cross-Sector Invariants</w:t>
      </w:r>
    </w:p>
    <w:p>
      <w:pPr>
        <w:spacing w:after="120" w:line="276"/>
        <w:jc w:val="both"/>
      </w:pPr>
      <w:r>
        <w:t xml:space="preserve">Analysis across four sectors reveals four regulatory invariants that ARHIA’s architecture satisfies structurally: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000"/>
        <w:gridCol w:w="2260"/>
      </w:tblGrid>
      <w:tr>
        <w:tc>
          <w:tcPr>
            <w:tcW w:type="dxa" w:w="15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Invariant</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Financial</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Maritime</w:t>
            </w:r>
          </w:p>
        </w:tc>
        <w:tc>
          <w:tcPr>
            <w:tcW w:type="dxa" w:w="20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Aviation</w:t>
            </w:r>
          </w:p>
        </w:tc>
        <w:tc>
          <w:tcPr>
            <w:tcW w:type="dxa" w:w="22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Electric Grid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Graduated supervision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Rule 3110 levels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MASS Degrees 1–4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DAL A–E</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BES impact categories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Record traceability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Rule 4511 / 17a-4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ISM Code §11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DO-178C CM</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CIP-010 R1</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Change management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Obj-function review</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ISM Code §10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Change Impact Analysis</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CIP-010 R1.2–R1.3</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Runtime guardrails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Guardrails req.</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ISM §8 emergency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Fail-safe / reversionary</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CIP-010 R2</w:t>
            </w:r>
          </w:p>
        </w:tc>
      </w:tr>
    </w:tbl>
    <w:p>
      <w:pPr>
        <w:spacing w:after="120" w:before="80"/>
        <w:jc w:val="both"/>
      </w:pPr>
      <w:r>
        <w:rPr>
          <w:i/>
          <w:iCs/>
        </w:rPr>
        <w:t xml:space="preserve">Table 5.</w:t>
      </w:r>
      <w:r>
        <w:t xml:space="preserve"> Cross-sector regulatory invariants. All four sectors require graduated supervision (A0–A4), record traceability (EGA), change management (GLL), and runtime guardrails (ATK). The ARHIA core architecture satisfies all four invariants; only the OPA/Rego policy bundles are sector-specific.</w:t>
      </w:r>
    </w:p>
    <w:p>
      <w:pPr>
        <w:spacing w:after="120" w:line="276"/>
        <w:jc w:val="both"/>
      </w:pPr>
      <w:r>
        <w:t xml:space="preserve">These invariants support ARHIA’s architectural hypothesis: a single governance runtime, parameterized by sector-specific policy bundles, satisfies regulatory requirements across heterogeneous domains. The requirements converge on the same four structural needs despite being expressed in different statutory instruments. Domain specificity is encapsulated entirely in OPA/Rego policy bundles; the core architecture remains invariant.</w:t>
      </w:r>
    </w:p>
    <w:p>
      <w:pPr>
        <w:pStyle w:val="Heading1"/>
        <w:spacing w:after="160" w:before="360"/>
      </w:pPr>
      <w:r>
        <w:rPr>
          <w:b/>
          <w:bCs/>
        </w:rPr>
        <w:t xml:space="preserve">6. Discussion</w:t>
      </w:r>
    </w:p>
    <w:p>
      <w:pPr>
        <w:pStyle w:val="Heading2"/>
        <w:spacing w:after="160" w:before="240"/>
      </w:pPr>
      <w:r>
        <w:rPr>
          <w:b/>
          <w:bCs/>
        </w:rPr>
        <w:t xml:space="preserve">6.1 Framework Crosswalk Coverage</w:t>
      </w:r>
    </w:p>
    <w:p>
      <w:pPr>
        <w:spacing w:after="120" w:line="276"/>
        <w:jc w:val="both"/>
      </w:pPr>
      <w:r>
        <w:t xml:space="preserve">Table 6 summarizes ARHIA’s crosswalk coverage against five major governance frameworks.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500"/>
        <w:gridCol w:w="1200"/>
        <w:gridCol w:w="1000"/>
      </w:tblGrid>
      <w:tr>
        <w:tc>
          <w:tcPr>
            <w:tcW w:type="dxa" w:w="2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Framework</w:t>
            </w:r>
          </w:p>
        </w:tc>
        <w:tc>
          <w:tcPr>
            <w:tcW w:type="dxa" w:w="10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Elements</w:t>
            </w:r>
          </w:p>
        </w:tc>
        <w:tc>
          <w:tcPr>
            <w:tcW w:type="dxa" w:w="15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Full Coverage</w:t>
            </w:r>
          </w:p>
        </w:tc>
        <w:tc>
          <w:tcPr>
            <w:tcW w:type="dxa" w:w="1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Partial</w:t>
            </w:r>
          </w:p>
        </w:tc>
        <w:tc>
          <w:tcPr>
            <w:tcW w:type="dxa" w:w="10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Gaps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ARISE [32] (7 domains)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7 (100%)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OWASP ASI [29] (10 risks)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10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8 (80%)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2 (20%)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CSA ATF [28] (5 elements)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5 (100%)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Singapore MGF [30] (4 dims)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4</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4 (100%)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NIST AI RMF + CSF 2.0 [26,31] (10 funcs)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10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9 (90%)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1 (10%)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0</w:t>
            </w:r>
          </w:p>
        </w:tc>
      </w:tr>
    </w:tbl>
    <w:p>
      <w:pPr>
        <w:spacing w:after="200" w:before="80"/>
        <w:jc w:val="both"/>
      </w:pPr>
      <w:r>
        <w:rPr>
          <w:i/>
          <w:iCs/>
        </w:rPr>
        <w:t xml:space="preserve">Table 6.</w:t>
      </w:r>
      <w:r>
        <w:t xml:space="preserve"> Framework crosswalk coverage. The two partial OWASP ASI categories (supply chain risk and model poisoning) require external mitigations beyond ARHIA’s scope. The single partial NIST function (Recover → Improvements) requires organizational process changes that cannot be fully automated.</w:t>
      </w:r>
    </w:p>
    <w:p>
      <w:pPr>
        <w:pStyle w:val="Heading2"/>
        <w:spacing w:after="160" w:before="240"/>
      </w:pPr>
      <w:r>
        <w:rPr>
          <w:b/>
          <w:bCs/>
        </w:rPr>
        <w:t xml:space="preserve">6.2 Limitations</w:t>
      </w:r>
    </w:p>
    <w:p>
      <w:pPr>
        <w:spacing w:after="120" w:line="276"/>
        <w:jc w:val="both"/>
      </w:pPr>
      <w:r>
        <w:t xml:space="preserve">We acknowledge nine technical limitations, organized by severity: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900"/>
        <w:gridCol w:w="3000"/>
      </w:tblGrid>
      <w:tr>
        <w:tc>
          <w:tcPr>
            <w:tcW w:type="dxa" w:w="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ID</w:t>
            </w:r>
          </w:p>
        </w:tc>
        <w:tc>
          <w:tcPr>
            <w:tcW w:type="dxa" w:w="35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Limitation</w:t>
            </w:r>
          </w:p>
        </w:tc>
        <w:tc>
          <w:tcPr>
            <w:tcW w:type="dxa" w:w="9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Severity</w:t>
            </w:r>
          </w:p>
        </w:tc>
        <w:tc>
          <w:tcPr>
            <w:tcW w:type="dxa" w:w="30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Research Direction</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L1</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Reference distribution drift: non-stationary LLM environments invalidate drift assumptions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Critical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Time-varying drift SDE; adaptive reference distributions</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L2</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Stationarity violation: discontinuous parameter shifts during model updates produce jump discontinuities incompatible with OU continuous sample paths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Critical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Merton-type jump-diffusion model superimposing Poisson jumps on OU mean-reversion; transition dynamics with convergence guarantees</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L3</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Conditional independence in chains: shared LLM infrastructure creates correlated failures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High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Copula-based correlated failure models</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L4</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Governance LLM reliability: semantic evaluation in Path G is imperfect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High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Formal error model for Path G; consensus governance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L5</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Drift parameter estimation: finite observation data introduces uncertainty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Medium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Bayesian parameter estimation with uncertainty bounds</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L6</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AIBOM hash chain scalability: linear-time verification limits throughput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Medium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Merkle trees; hierarchical archival</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L7</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Policy completeness: manual regulatory analysis may miss requirements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Medium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Formal policy specification language</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L8</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Barrier classification: manual barrier configuration is error-prone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Lower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Formal barrier verification methods</w:t>
            </w:r>
          </w:p>
        </w:tc>
      </w:tr>
      <w:tr>
        <w:tc>
          <w:tcPr>
            <w:tcW w:type="dxa" w:w="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L9</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Domain mismatch: D(t) is non-negative (KL divergence) but the OU stationary distribution has full real-line support, assigning nonzero mass to D &lt; 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Medium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Cox-Ingersoll-Ross (CIR) process guaranteeing D(t) ≥ 0; or reflected OU process. Validity condition: α/γ ≥ 3σ/√(2γ)</w:t>
            </w:r>
          </w:p>
        </w:tc>
      </w:tr>
    </w:tbl>
    <w:p>
      <w:pPr>
        <w:spacing w:after="200" w:before="80"/>
        <w:jc w:val="both"/>
      </w:pPr>
      <w:r>
        <w:rPr>
          <w:i/>
          <w:iCs/>
        </w:rPr>
        <w:t xml:space="preserve">Table 7.</w:t>
      </w:r>
      <w:r>
        <w:t xml:space="preserve"> Nine technical limitations. L1, L2, and L9 are interconnected: they challenge the OU model’s assumptions of stationarity (L1), continuous sample paths (L2), and full real-line support (L9). Together these constitute the primary mathematical debt of the current formalism (see the domain compatibility condition and modeling caveat in Section 3). L3 is partially addressed by Remark 3.4.7 but not formally resolved. L4 is inherent to any system using LLMs for semantic evaluation. L5–L8 are engineering challenges with known solution paths.</w:t>
      </w:r>
    </w:p>
    <w:p>
      <w:pPr>
        <w:pStyle w:val="Heading2"/>
        <w:spacing w:after="160" w:before="240"/>
      </w:pPr>
      <w:r>
        <w:rPr>
          <w:b/>
          <w:bCs/>
        </w:rPr>
        <w:t xml:space="preserve">6.3 Empirical Validation Status</w:t>
      </w:r>
    </w:p>
    <w:p>
      <w:pPr>
        <w:spacing w:after="120" w:line="276"/>
        <w:jc w:val="both"/>
      </w:pPr>
      <w:r>
        <w:t xml:space="preserve">ARHIA has been validated through a reference implementation using FastAPI, OPA/Rego policies, and integration tests covering all six ATK decision scenarios. </w:t>
      </w:r>
      <w:r>
        <w:t xml:space="preserve">However, no production deployment exists at the time of writing. The formal properties established in Section 3 are analytical results; empirical validation under production conditions remains future work. </w:t>
      </w:r>
      <w:r>
        <w:t xml:space="preserve">We emphasize that the four propositions and three design invariants establish upper bounds and structural properties, not empirical performance claims. Production deployment in regulated environments will require domain-specific calibration of drift thresholds, observation windows, and policy bundles—activities that are inherently sector-specific and cannot be generalized from a reference implementation alone.</w:t>
      </w:r>
    </w:p>
    <w:p>
      <w:pPr>
        <w:pStyle w:val="Heading2"/>
        <w:spacing w:after="160" w:before="240"/>
      </w:pPr>
      <w:r>
        <w:rPr>
          <w:b/>
          <w:bCs/>
        </w:rPr>
        <w:t xml:space="preserve">6.4 Comparison with Alternative Approaches</w:t>
      </w:r>
    </w:p>
    <w:p>
      <w:pPr>
        <w:spacing w:after="120" w:line="276"/>
        <w:jc w:val="both"/>
      </w:pPr>
      <w:r>
        <w:t xml:space="preserve">Table 8 provides a structured comparison of ARHIA with the principal alternative frameworks across seven dimensions relevant to the regulatory instantiation problem.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100"/>
        <w:gridCol w:w="1000"/>
        <w:gridCol w:w="1100"/>
        <w:gridCol w:w="1100"/>
        <w:gridCol w:w="1100"/>
      </w:tblGrid>
      <w:tr>
        <w:tc>
          <w:tcPr>
            <w:tcW w:type="dxa" w:w="13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Dimension</w:t>
            </w:r>
          </w:p>
        </w:tc>
        <w:tc>
          <w:tcPr>
            <w:tcW w:type="dxa" w:w="13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ARHIA</w:t>
            </w:r>
          </w:p>
        </w:tc>
        <w:tc>
          <w:tcPr>
            <w:tcW w:type="dxa" w:w="11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ABC [1]</w:t>
            </w:r>
          </w:p>
        </w:tc>
        <w:tc>
          <w:tcPr>
            <w:tcW w:type="dxa" w:w="10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ACP [2]</w:t>
            </w:r>
          </w:p>
        </w:tc>
        <w:tc>
          <w:tcPr>
            <w:tcW w:type="dxa" w:w="11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GaaS [4]</w:t>
            </w:r>
          </w:p>
        </w:tc>
        <w:tc>
          <w:tcPr>
            <w:tcW w:type="dxa" w:w="11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ARISE [32]</w:t>
            </w:r>
          </w:p>
        </w:tc>
        <w:tc>
          <w:tcPr>
            <w:tcW w:type="dxa" w:w="11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spacing w:after="40"/>
              <w:jc w:val="left"/>
            </w:pPr>
            <w:r>
              <w:rPr>
                <w:rFonts w:ascii="Arial" w:cs="Arial" w:eastAsia="Arial" w:hAnsi="Arial"/>
                <w:b/>
                <w:bCs/>
                <w:sz w:val="18"/>
                <w:szCs w:val="18"/>
              </w:rPr>
              <w:t xml:space="preserve">AWS AIRI [41]</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Runtime enforcement</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Yes (ATK)</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Yes (partial)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Yes (partial)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Policy-as-code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OPA/Rego (19 bundles)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Partial</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Formal autonomy scale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A0–A4 (5 levels)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Continuous drift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Capability scope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Trust Factor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7 domains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N/A</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Evidence chain</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HMAC + JSON-LD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Audit reports</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Agent identity</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AIM (NHI-compat.)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Capability certs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Multi-sector mapping</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4 sectors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Finance-focused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General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General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General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General</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Behavioral monitoring</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D-TCG+ / BBR / CLAS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Drift bounds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jc w:val="left"/>
            </w:pPr>
            <w:r>
              <w:rPr>
                <w:rFonts w:ascii="Arial" w:cs="Arial" w:eastAsia="Arial" w:hAnsi="Arial"/>
                <w:b w:val="false"/>
                <w:bCs w:val="false"/>
                <w:sz w:val="18"/>
                <w:szCs w:val="18"/>
              </w:rPr>
              <w:t xml:space="preserve">Semantic entropy</w:t>
            </w:r>
          </w:p>
        </w:tc>
      </w:tr>
    </w:tbl>
    <w:p>
      <w:pPr>
        <w:spacing w:after="200" w:before="80"/>
        <w:jc w:val="both"/>
      </w:pPr>
      <w:r>
        <w:rPr>
          <w:i/>
          <w:iCs/>
        </w:rPr>
        <w:t xml:space="preserve">Table 8.</w:t>
      </w:r>
      <w:r>
        <w:t xml:space="preserve"> Comparative analysis across seven dimensions. ARHIA is the only framework architecturally designed to simultaneously provide runtime enforcement, policy-as-code, formal autonomy levels, evidence chains, agent identity, multi-sector mapping, and behavioral monitoring. ABC and ACP provide stronger formalization of individual primitives (drift bounds and capability delegation, respectively); ARHIA integrates these primitives into an operational architecture.</w:t>
      </w:r>
    </w:p>
    <w:p>
      <w:pPr>
        <w:spacing w:after="120" w:line="276"/>
        <w:jc w:val="both"/>
      </w:pPr>
      <w:r>
        <w:t xml:space="preserve">ARHIA is complementary, not competitive: ABC provides ARHIA’s drift formalism, ACP informs ATK authorization, ARISE provides the control vocabulary. The contribution is architectural integration—translating these primitives into a deployable governance system.</w:t>
      </w:r>
    </w:p>
    <w:p>
      <w:pPr>
        <w:pStyle w:val="Heading1"/>
        <w:spacing w:after="160" w:before="360"/>
      </w:pPr>
      <w:r>
        <w:rPr>
          <w:b/>
          <w:bCs/>
        </w:rPr>
        <w:t xml:space="preserve">7. Conclusion and Open Standard Invitation</w:t>
      </w:r>
    </w:p>
    <w:p>
      <w:pPr>
        <w:spacing w:after="120" w:line="276"/>
        <w:jc w:val="both"/>
      </w:pPr>
      <w:r>
        <w:t xml:space="preserve">The agentic AI governance landscape is characterized by a proliferation of frameworks that specify </w:t>
      </w:r>
      <w:r>
        <w:rPr>
          <w:i/>
          <w:iCs/>
        </w:rPr>
        <w:t xml:space="preserve">what</w:t>
      </w:r>
      <w:r>
        <w:t xml:space="preserve"> controls should exist, maturity models that specify </w:t>
      </w:r>
      <w:r>
        <w:rPr>
          <w:i/>
          <w:iCs/>
        </w:rPr>
        <w:t xml:space="preserve">how much</w:t>
      </w:r>
      <w:r>
        <w:t xml:space="preserve"> governance is appropriate, and risk taxonomies that specify </w:t>
      </w:r>
      <w:r>
        <w:rPr>
          <w:i/>
          <w:iCs/>
        </w:rPr>
        <w:t xml:space="preserve">why</w:t>
      </w:r>
      <w:r>
        <w:t xml:space="preserve"> governance matters—but a persistent absence of systems that actually </w:t>
      </w:r>
      <w:r>
        <w:rPr>
          <w:i/>
          <w:iCs/>
        </w:rPr>
        <w:t xml:space="preserve">execute</w:t>
      </w:r>
      <w:r>
        <w:t xml:space="preserve"> governance at runtime. </w:t>
      </w:r>
      <w:r>
        <w:t xml:space="preserve">This paper has formalized this gap as the regulatory instantiation problem and presented ARHIA as a candidate solution: an open governance standard with 14 components, 36 auditable controls, four formal propositions, three design invariants, and 19 OPA/Rego policy bundles that provide executable, verifiable governance for agentic AI systems across regulated industries.</w:t>
      </w:r>
    </w:p>
    <w:p>
      <w:pPr>
        <w:spacing w:after="120" w:line="276"/>
        <w:jc w:val="both"/>
      </w:pPr>
      <w:r>
        <w:t xml:space="preserve">The architecture is derived from a systematic TRIZ analysis that resolves the fundamental autonomy–compliance contradiction through four inventive principles, yielding a design where governance overhead decreases as agent trust increases—an Ideal Final Result where compliance enables rather than constrains autonomy. </w:t>
      </w:r>
      <w:r>
        <w:t xml:space="preserve">We have demonstrated multi-sector applicability across financial services, maritime, aviation, and electric grid domains, identifying four cross-sector regulatory invariants that ARHIA satisfies structurally.</w:t>
      </w:r>
    </w:p>
    <w:p>
      <w:pPr>
        <w:spacing w:after="120" w:line="276"/>
        <w:jc w:val="both"/>
      </w:pPr>
      <w:r>
        <w:t xml:space="preserve">As a summary positioning: ARISE [32] defines </w:t>
      </w:r>
      <w:r>
        <w:rPr>
          <w:i/>
          <w:iCs/>
        </w:rPr>
        <w:t xml:space="preserve">what</w:t>
      </w:r>
      <w:r>
        <w:t xml:space="preserve"> controls should exist. NIST [26] defines </w:t>
      </w:r>
      <w:r>
        <w:rPr>
          <w:i/>
          <w:iCs/>
        </w:rPr>
        <w:t xml:space="preserve">why</w:t>
      </w:r>
      <w:r>
        <w:t xml:space="preserve"> risk management matters. CSA ATF [28] defines </w:t>
      </w:r>
      <w:r>
        <w:rPr>
          <w:i/>
          <w:iCs/>
        </w:rPr>
        <w:t xml:space="preserve">how much</w:t>
      </w:r>
      <w:r>
        <w:t xml:space="preserve"> governance is appropriate. ARHIA executes all three. </w:t>
      </w:r>
      <w:r>
        <w:t xml:space="preserve">This is not a claim of superiority over these frameworks; it is a claim of complementarity at a different layer of the governance stack. </w:t>
      </w:r>
      <w:r>
        <w:t xml:space="preserve">Standards and assessment tools are necessary but insufficient: without an instantiation layer that translates their requirements into executable, evidenced runtime controls, governance remains aspirational. </w:t>
      </w:r>
      <w:r>
        <w:t xml:space="preserve">ARHIA provides that instantiation layer.</w:t>
      </w:r>
    </w:p>
    <w:p>
      <w:pPr>
        <w:spacing w:after="120" w:line="276"/>
        <w:jc w:val="both"/>
      </w:pPr>
      <w:r>
        <w:t xml:space="preserve">We extend an open standard invitation to the research and practitioner communities. The ARHIA specification, a reference SDK, sample policy bundles, and framework crosswalk documentation are available under Apache 2.0 license. We welcome contributions in the form of sector-specific policy bundles, empirical validation studies, and extensions to the formal properties.</w:t>
      </w:r>
    </w:p>
    <w:p>
      <w:pPr>
        <w:spacing w:after="120" w:line="276"/>
        <w:jc w:val="both"/>
      </w:pPr>
      <w:r>
        <w:rPr>
          <w:b/>
          <w:bCs/>
        </w:rPr>
        <w:t xml:space="preserve">Research program.</w:t>
      </w:r>
      <w:r>
        <w:t xml:space="preserve"> The OU model carries three interconnected limitations (L1, L2, L9) that forthcoming work will resolve. </w:t>
      </w:r>
      <w:r>
        <w:rPr>
          <w:i/>
          <w:iCs/>
        </w:rPr>
        <w:t xml:space="preserve">(i)</w:t>
      </w:r>
      <w:r>
        <w:t xml:space="preserve"> Replacing OU with a CIR base model, dD = γ(μ − D)dt + σ√D · dW</w:t>
      </w:r>
      <w:r>
        <w:rPr>
          <w:vertAlign w:val="subscript"/>
        </w:rPr>
        <w:t xml:space="preserve">t</w:t>
      </w:r>
      <w:r>
        <w:t xml:space="preserve">, guaranteeing D(t) ≥ 0 under the Feller condition, eliminating L9. Sojourn bounds will be re-derived via CIR transition densities (modified Bessel functions); pre-computed CIR threshold tables in the BBR preserve OPA/Rego bounded-latency lookups. </w:t>
      </w:r>
      <w:r>
        <w:rPr>
          <w:i/>
          <w:iCs/>
        </w:rPr>
        <w:t xml:space="preserve">(ii)</w:t>
      </w:r>
      <w:r>
        <w:t xml:space="preserve"> Superimposing compound Poisson jumps on the CIR base: dD = γ(μ − D)dt + σ√D · dW</w:t>
      </w:r>
      <w:r>
        <w:rPr>
          <w:vertAlign w:val="subscript"/>
        </w:rPr>
        <w:t xml:space="preserve">t</w:t>
      </w:r>
      <w:r>
        <w:t xml:space="preserve"> + J · dN</w:t>
      </w:r>
      <w:r>
        <w:rPr>
          <w:vertAlign w:val="subscript"/>
        </w:rPr>
        <w:t xml:space="preserve">t</w:t>
      </w:r>
      <w:r>
        <w:t xml:space="preserve">, resolving L2. Jump amplitude |J| exceeding the CLAS threshold triggers IPM activation, formally linking the stochastic model to D-TCG+ operational subsystems. </w:t>
      </w:r>
      <w:r>
        <w:rPr>
          <w:i/>
          <w:iCs/>
        </w:rPr>
        <w:t xml:space="preserve">(iii)</w:t>
      </w:r>
      <w:r>
        <w:t xml:space="preserve"> Replacing the Amdahl throughput estimate with a Jackson network model of the ATK pipeline, proving Path G non-blocking under sustained load.</w:t>
      </w:r>
    </w:p>
    <w:p>
      <w:pPr>
        <w:spacing w:after="120" w:line="276"/>
        <w:jc w:val="both"/>
      </w:pPr>
      <w:r>
        <w:t xml:space="preserve">The governance gap is real, measurable, and growing. ARHIA represents one approach to bridging it—offered openly, with honest acknowledgment of its mathematical assumptions and a concrete program to resolve them.</w:t>
      </w:r>
    </w:p>
    <w:p>
      <w:r>
        <w:br w:type="page"/>
      </w:r>
    </w:p>
    <w:p>
      <w:pPr>
        <w:pStyle w:val="Heading1"/>
        <w:spacing w:after="160" w:before="360"/>
      </w:pPr>
      <w:r>
        <w:rPr>
          <w:b/>
          <w:bCs/>
        </w:rPr>
        <w:t xml:space="preserve">References</w:t>
      </w:r>
    </w:p>
    <w:p>
      <w:pPr>
        <w:spacing w:after="60" w:line="240"/>
        <w:ind w:left="360" w:hanging="360"/>
      </w:pPr>
      <w:r>
        <w:rPr>
          <w:rFonts w:ascii="Arial" w:cs="Arial" w:eastAsia="Arial" w:hAnsi="Arial"/>
          <w:sz w:val="18"/>
          <w:szCs w:val="18"/>
        </w:rPr>
        <w:t xml:space="preserve">[1] R. Bhardwaj, "Agent Behavioral Contracts," arXiv:2602.22302, Feb. 2026.</w:t>
      </w:r>
    </w:p>
    <w:p>
      <w:pPr>
        <w:spacing w:after="60" w:line="240"/>
        <w:ind w:left="360" w:hanging="360"/>
      </w:pPr>
      <w:r>
        <w:rPr>
          <w:rFonts w:ascii="Arial" w:cs="Arial" w:eastAsia="Arial" w:hAnsi="Arial"/>
          <w:sz w:val="18"/>
          <w:szCs w:val="18"/>
        </w:rPr>
        <w:t xml:space="preserve">[2] A. Fernandez, "Agent Control Protocol," arXiv:2603.18829, Mar. 2026.</w:t>
      </w:r>
    </w:p>
    <w:p>
      <w:pPr>
        <w:spacing w:after="60" w:line="240"/>
        <w:ind w:left="360" w:hanging="360"/>
      </w:pPr>
      <w:r>
        <w:rPr>
          <w:rFonts w:ascii="Arial" w:cs="Arial" w:eastAsia="Arial" w:hAnsi="Arial"/>
          <w:sz w:val="18"/>
          <w:szCs w:val="18"/>
        </w:rPr>
        <w:t xml:space="preserve">[3] P. Bhatia et al., "Runtime Governance: Policies on Paths," arXiv:2603.16586, Mar. 2026.</w:t>
      </w:r>
    </w:p>
    <w:p>
      <w:pPr>
        <w:spacing w:after="60" w:line="240"/>
        <w:ind w:left="360" w:hanging="360"/>
      </w:pPr>
      <w:r>
        <w:rPr>
          <w:rFonts w:ascii="Arial" w:cs="Arial" w:eastAsia="Arial" w:hAnsi="Arial"/>
          <w:sz w:val="18"/>
          <w:szCs w:val="18"/>
        </w:rPr>
        <w:t xml:space="preserve">[4] Y. Li et al., "Governance-as-a-Service," arXiv:2508.18765, Aug. 2025.</w:t>
      </w:r>
    </w:p>
    <w:p>
      <w:pPr>
        <w:spacing w:after="60" w:line="240"/>
        <w:ind w:left="360" w:hanging="360"/>
      </w:pPr>
      <w:r>
        <w:rPr>
          <w:rFonts w:ascii="Arial" w:cs="Arial" w:eastAsia="Arial" w:hAnsi="Arial"/>
          <w:sz w:val="18"/>
          <w:szCs w:val="18"/>
        </w:rPr>
        <w:t xml:space="preserve">[5] W. Chen et al., "Aegis: Cryptographic Runtime Governance for Multi-Agent Systems," arXiv:2603.16938, Mar. 2026.</w:t>
      </w:r>
    </w:p>
    <w:p>
      <w:pPr>
        <w:spacing w:after="60" w:line="240"/>
        <w:ind w:left="360" w:hanging="360"/>
      </w:pPr>
      <w:r>
        <w:rPr>
          <w:rFonts w:ascii="Arial" w:cs="Arial" w:eastAsia="Arial" w:hAnsi="Arial"/>
          <w:sz w:val="18"/>
          <w:szCs w:val="18"/>
        </w:rPr>
        <w:t xml:space="preserve">[6] L. Zhang et al., "Omega: A Trusted Agent Platform with Runtime Verification," arXiv:2512.05951, Dec. 2025.</w:t>
      </w:r>
    </w:p>
    <w:p>
      <w:pPr>
        <w:spacing w:after="60" w:line="240"/>
        <w:ind w:left="360" w:hanging="360"/>
      </w:pPr>
      <w:r>
        <w:rPr>
          <w:rFonts w:ascii="Arial" w:cs="Arial" w:eastAsia="Arial" w:hAnsi="Arial"/>
          <w:sz w:val="18"/>
          <w:szCs w:val="18"/>
        </w:rPr>
        <w:t xml:space="preserve">[7] J. Park et al., "The Agentic Regulator: Compliance as a Service," arXiv:2512.11933, Dec. 2025.</w:t>
      </w:r>
    </w:p>
    <w:p>
      <w:pPr>
        <w:spacing w:after="60" w:line="240"/>
        <w:ind w:left="360" w:hanging="360"/>
      </w:pPr>
      <w:r>
        <w:rPr>
          <w:rFonts w:ascii="Arial" w:cs="Arial" w:eastAsia="Arial" w:hAnsi="Arial"/>
          <w:sz w:val="18"/>
          <w:szCs w:val="18"/>
        </w:rPr>
        <w:t xml:space="preserve">[8] H. Wang et al., "AFMM: Agentic Financial Market Model," arXiv:2603.13942, Mar. 2026.</w:t>
      </w:r>
    </w:p>
    <w:p>
      <w:pPr>
        <w:spacing w:after="60" w:line="240"/>
        <w:ind w:left="360" w:hanging="360"/>
      </w:pPr>
      <w:r>
        <w:rPr>
          <w:rFonts w:ascii="Arial" w:cs="Arial" w:eastAsia="Arial" w:hAnsi="Arial"/>
          <w:sz w:val="18"/>
          <w:szCs w:val="18"/>
        </w:rPr>
        <w:t xml:space="preserve">[9] FINRA, "2026 Annual Regulatory Oversight Report," Dec. 2025.</w:t>
      </w:r>
    </w:p>
    <w:p>
      <w:pPr>
        <w:spacing w:after="60" w:line="240"/>
        <w:ind w:left="360" w:hanging="360"/>
      </w:pPr>
      <w:r>
        <w:rPr>
          <w:rFonts w:ascii="Arial" w:cs="Arial" w:eastAsia="Arial" w:hAnsi="Arial"/>
          <w:sz w:val="18"/>
          <w:szCs w:val="18"/>
        </w:rPr>
        <w:t xml:space="preserve">[10] FINRA, "Regulatory Notice 24-09," 2024.</w:t>
      </w:r>
    </w:p>
    <w:p>
      <w:pPr>
        <w:spacing w:after="60" w:line="240"/>
        <w:ind w:left="360" w:hanging="360"/>
      </w:pPr>
      <w:r>
        <w:rPr>
          <w:rFonts w:ascii="Arial" w:cs="Arial" w:eastAsia="Arial" w:hAnsi="Arial"/>
          <w:sz w:val="18"/>
          <w:szCs w:val="18"/>
        </w:rPr>
        <w:t xml:space="preserve">[11] SEC, "AI Task Force," Press Release 2025-103, Aug. 2025.</w:t>
      </w:r>
    </w:p>
    <w:p>
      <w:pPr>
        <w:spacing w:after="60" w:line="240"/>
        <w:ind w:left="360" w:hanging="360"/>
      </w:pPr>
      <w:r>
        <w:rPr>
          <w:rFonts w:ascii="Arial" w:cs="Arial" w:eastAsia="Arial" w:hAnsi="Arial"/>
          <w:sz w:val="18"/>
          <w:szCs w:val="18"/>
        </w:rPr>
        <w:t xml:space="preserve">[12] SEC, "FY2026 Examination Priorities," 2025.</w:t>
      </w:r>
    </w:p>
    <w:p>
      <w:pPr>
        <w:spacing w:after="60" w:line="240"/>
        <w:ind w:left="360" w:hanging="360"/>
      </w:pPr>
      <w:r>
        <w:rPr>
          <w:rFonts w:ascii="Arial" w:cs="Arial" w:eastAsia="Arial" w:hAnsi="Arial"/>
          <w:sz w:val="18"/>
          <w:szCs w:val="18"/>
        </w:rPr>
        <w:t xml:space="preserve">[13] Board of Governors of the Federal Reserve System, "SR 11-7: Supervisory Guidance on Model Risk Management," Apr. 2011.</w:t>
      </w:r>
    </w:p>
    <w:p>
      <w:pPr>
        <w:spacing w:after="60" w:line="240"/>
        <w:ind w:left="360" w:hanging="360"/>
      </w:pPr>
      <w:r>
        <w:rPr>
          <w:rFonts w:ascii="Arial" w:cs="Arial" w:eastAsia="Arial" w:hAnsi="Arial"/>
          <w:sz w:val="18"/>
          <w:szCs w:val="18"/>
        </w:rPr>
        <w:t xml:space="preserve">[14] FINRA Rule 3110 (Supervision).</w:t>
      </w:r>
    </w:p>
    <w:p>
      <w:pPr>
        <w:spacing w:after="60" w:line="240"/>
        <w:ind w:left="360" w:hanging="360"/>
      </w:pPr>
      <w:r>
        <w:rPr>
          <w:rFonts w:ascii="Arial" w:cs="Arial" w:eastAsia="Arial" w:hAnsi="Arial"/>
          <w:sz w:val="18"/>
          <w:szCs w:val="18"/>
        </w:rPr>
        <w:t xml:space="preserve">[15] FINRA Rule 4511 (Books and Records).</w:t>
      </w:r>
    </w:p>
    <w:p>
      <w:pPr>
        <w:spacing w:after="60" w:line="240"/>
        <w:ind w:left="360" w:hanging="360"/>
      </w:pPr>
      <w:r>
        <w:rPr>
          <w:rFonts w:ascii="Arial" w:cs="Arial" w:eastAsia="Arial" w:hAnsi="Arial"/>
          <w:sz w:val="18"/>
          <w:szCs w:val="18"/>
        </w:rPr>
        <w:t xml:space="preserve">[16] SEC Rule 17a-4 (Records Preservation), as amended Oct. 2022.</w:t>
      </w:r>
    </w:p>
    <w:p>
      <w:pPr>
        <w:spacing w:after="60" w:line="240"/>
        <w:ind w:left="360" w:hanging="360"/>
      </w:pPr>
      <w:r>
        <w:rPr>
          <w:rFonts w:ascii="Arial" w:cs="Arial" w:eastAsia="Arial" w:hAnsi="Arial"/>
          <w:sz w:val="18"/>
          <w:szCs w:val="18"/>
        </w:rPr>
        <w:t xml:space="preserve">[17] FINRA Rule 2210 (Communications with the Public).</w:t>
      </w:r>
    </w:p>
    <w:p>
      <w:pPr>
        <w:spacing w:after="60" w:line="240"/>
        <w:ind w:left="360" w:hanging="360"/>
      </w:pPr>
      <w:r>
        <w:rPr>
          <w:rFonts w:ascii="Arial" w:cs="Arial" w:eastAsia="Arial" w:hAnsi="Arial"/>
          <w:sz w:val="18"/>
          <w:szCs w:val="18"/>
        </w:rPr>
        <w:t xml:space="preserve">[18] SEC, "Regulation Best Interest (Reg BI)," 17 CFR § 240.15l-1.</w:t>
      </w:r>
    </w:p>
    <w:p>
      <w:pPr>
        <w:spacing w:after="60" w:line="240"/>
        <w:ind w:left="360" w:hanging="360"/>
      </w:pPr>
      <w:r>
        <w:rPr>
          <w:rFonts w:ascii="Arial" w:cs="Arial" w:eastAsia="Arial" w:hAnsi="Arial"/>
          <w:sz w:val="18"/>
          <w:szCs w:val="18"/>
        </w:rPr>
        <w:t xml:space="preserve">[19] P. Atkins, "Remarks at FSOC AI Roundtable," Mar. 2026.</w:t>
      </w:r>
    </w:p>
    <w:p>
      <w:pPr>
        <w:spacing w:after="60" w:line="240"/>
        <w:ind w:left="360" w:hanging="360"/>
      </w:pPr>
      <w:r>
        <w:rPr>
          <w:rFonts w:ascii="Arial" w:cs="Arial" w:eastAsia="Arial" w:hAnsi="Arial"/>
          <w:sz w:val="18"/>
          <w:szCs w:val="18"/>
        </w:rPr>
        <w:t xml:space="preserve">[20] D. Spitalnick et al., "FINRA’s 2026 Report: A Supervisory Reckoning for Agentic AI," Snell &amp; Wilmer, Dec. 2025.</w:t>
      </w:r>
    </w:p>
    <w:p>
      <w:pPr>
        <w:spacing w:after="60" w:line="240"/>
        <w:ind w:left="360" w:hanging="360"/>
      </w:pPr>
      <w:r>
        <w:rPr>
          <w:rFonts w:ascii="Arial" w:cs="Arial" w:eastAsia="Arial" w:hAnsi="Arial"/>
          <w:sz w:val="18"/>
          <w:szCs w:val="18"/>
        </w:rPr>
        <w:t xml:space="preserve">[21] IMO, "International Safety Management (ISM) Code," Res. A.741(18).</w:t>
      </w:r>
    </w:p>
    <w:p>
      <w:pPr>
        <w:spacing w:after="60" w:line="240"/>
        <w:ind w:left="360" w:hanging="360"/>
      </w:pPr>
      <w:r>
        <w:rPr>
          <w:rFonts w:ascii="Arial" w:cs="Arial" w:eastAsia="Arial" w:hAnsi="Arial"/>
          <w:sz w:val="18"/>
          <w:szCs w:val="18"/>
        </w:rPr>
        <w:t xml:space="preserve">[22] IMO, "MASS Code RSE Outcome," MSC.1/Circ.1638, Jun. 2021.</w:t>
      </w:r>
    </w:p>
    <w:p>
      <w:pPr>
        <w:spacing w:after="60" w:line="240"/>
        <w:ind w:left="360" w:hanging="360"/>
      </w:pPr>
      <w:r>
        <w:rPr>
          <w:rFonts w:ascii="Arial" w:cs="Arial" w:eastAsia="Arial" w:hAnsi="Arial"/>
          <w:sz w:val="18"/>
          <w:szCs w:val="18"/>
        </w:rPr>
        <w:t xml:space="preserve">[23] RTCA, "DO-178C: Software Considerations in Airborne Systems and Equipment Certification," Dec. 2011.</w:t>
      </w:r>
    </w:p>
    <w:p>
      <w:pPr>
        <w:spacing w:after="60" w:line="240"/>
        <w:ind w:left="360" w:hanging="360"/>
      </w:pPr>
      <w:r>
        <w:rPr>
          <w:rFonts w:ascii="Arial" w:cs="Arial" w:eastAsia="Arial" w:hAnsi="Arial"/>
          <w:sz w:val="18"/>
          <w:szCs w:val="18"/>
        </w:rPr>
        <w:t xml:space="preserve">[24] NERC, "CIP-010-4: Configuration Change Management and Vulnerability Assessments."</w:t>
      </w:r>
    </w:p>
    <w:p>
      <w:pPr>
        <w:spacing w:after="60" w:line="240"/>
        <w:ind w:left="360" w:hanging="360"/>
      </w:pPr>
      <w:r>
        <w:rPr>
          <w:rFonts w:ascii="Arial" w:cs="Arial" w:eastAsia="Arial" w:hAnsi="Arial"/>
          <w:sz w:val="18"/>
          <w:szCs w:val="18"/>
        </w:rPr>
        <w:t xml:space="preserve">[25] European Union, "Regulation 2024/1689 (Artificial Intelligence Act)," OJ L, Aug. 2024.</w:t>
      </w:r>
    </w:p>
    <w:p>
      <w:pPr>
        <w:spacing w:after="60" w:line="240"/>
        <w:ind w:left="360" w:hanging="360"/>
      </w:pPr>
      <w:r>
        <w:rPr>
          <w:rFonts w:ascii="Arial" w:cs="Arial" w:eastAsia="Arial" w:hAnsi="Arial"/>
          <w:sz w:val="18"/>
          <w:szCs w:val="18"/>
        </w:rPr>
        <w:t xml:space="preserve">[26] NIST, "AI Risk Management Framework 1.0," NIST AI 100-1, Jan. 2023.</w:t>
      </w:r>
    </w:p>
    <w:p>
      <w:pPr>
        <w:spacing w:after="60" w:line="240"/>
        <w:ind w:left="360" w:hanging="360"/>
      </w:pPr>
      <w:r>
        <w:rPr>
          <w:rFonts w:ascii="Arial" w:cs="Arial" w:eastAsia="Arial" w:hAnsi="Arial"/>
          <w:sz w:val="18"/>
          <w:szCs w:val="18"/>
        </w:rPr>
        <w:t xml:space="preserve">[27] Executive Order 14110, "Safe, Secure, and Trustworthy Development and Use of Artificial Intelligence," Oct. 2023.</w:t>
      </w:r>
    </w:p>
    <w:p>
      <w:pPr>
        <w:spacing w:after="60" w:line="240"/>
        <w:ind w:left="360" w:hanging="360"/>
      </w:pPr>
      <w:r>
        <w:rPr>
          <w:rFonts w:ascii="Arial" w:cs="Arial" w:eastAsia="Arial" w:hAnsi="Arial"/>
          <w:sz w:val="18"/>
          <w:szCs w:val="18"/>
        </w:rPr>
        <w:t xml:space="preserve">[28] Cloud Security Alliance, "Agentic Trust Framework," 2026.</w:t>
      </w:r>
    </w:p>
    <w:p>
      <w:pPr>
        <w:spacing w:after="60" w:line="240"/>
        <w:ind w:left="360" w:hanging="360"/>
      </w:pPr>
      <w:r>
        <w:rPr>
          <w:rFonts w:ascii="Arial" w:cs="Arial" w:eastAsia="Arial" w:hAnsi="Arial"/>
          <w:sz w:val="18"/>
          <w:szCs w:val="18"/>
        </w:rPr>
        <w:t xml:space="preserve">[29] OWASP, "Top 10 for Agentic Security Initiative," Dec. 2025.</w:t>
      </w:r>
    </w:p>
    <w:p>
      <w:pPr>
        <w:spacing w:after="60" w:line="240"/>
        <w:ind w:left="360" w:hanging="360"/>
      </w:pPr>
      <w:r>
        <w:rPr>
          <w:rFonts w:ascii="Arial" w:cs="Arial" w:eastAsia="Arial" w:hAnsi="Arial"/>
          <w:sz w:val="18"/>
          <w:szCs w:val="18"/>
        </w:rPr>
        <w:t xml:space="preserve">[30] Infocomm Media Development Authority (IMDA), "Model AI Governance Framework for Agentic AI," Singapore, Jan. 2026.</w:t>
      </w:r>
    </w:p>
    <w:p>
      <w:pPr>
        <w:spacing w:after="60" w:line="240"/>
        <w:ind w:left="360" w:hanging="360"/>
      </w:pPr>
      <w:r>
        <w:rPr>
          <w:rFonts w:ascii="Arial" w:cs="Arial" w:eastAsia="Arial" w:hAnsi="Arial"/>
          <w:sz w:val="18"/>
          <w:szCs w:val="18"/>
        </w:rPr>
        <w:t xml:space="preserve">[31] NIST, "Cybersecurity Framework 2.0," Feb. 2024.</w:t>
      </w:r>
    </w:p>
    <w:p>
      <w:pPr>
        <w:spacing w:after="60" w:line="240"/>
        <w:ind w:left="360" w:hanging="360"/>
      </w:pPr>
      <w:r>
        <w:rPr>
          <w:rFonts w:ascii="Arial" w:cs="Arial" w:eastAsia="Arial" w:hAnsi="Arial"/>
          <w:sz w:val="18"/>
          <w:szCs w:val="18"/>
        </w:rPr>
        <w:t xml:space="preserve">[32] Assessed Intelligence, "ARISE: Agentic Risk &amp; Security Evaluation Framework," 2026.</w:t>
      </w:r>
    </w:p>
    <w:p>
      <w:pPr>
        <w:spacing w:after="60" w:line="240"/>
        <w:ind w:left="360" w:hanging="360"/>
      </w:pPr>
      <w:r>
        <w:rPr>
          <w:rFonts w:ascii="Arial" w:cs="Arial" w:eastAsia="Arial" w:hAnsi="Arial"/>
          <w:sz w:val="18"/>
          <w:szCs w:val="18"/>
        </w:rPr>
        <w:t xml:space="preserve">[33] Cloud Security Alliance, "MAESTRO: Multi-Agent Environment Security Threat Risk Outcome," Feb. 2025.</w:t>
      </w:r>
    </w:p>
    <w:p>
      <w:pPr>
        <w:spacing w:after="60" w:line="240"/>
        <w:ind w:left="360" w:hanging="360"/>
      </w:pPr>
      <w:r>
        <w:rPr>
          <w:rFonts w:ascii="Arial" w:cs="Arial" w:eastAsia="Arial" w:hAnsi="Arial"/>
          <w:sz w:val="18"/>
          <w:szCs w:val="18"/>
        </w:rPr>
        <w:t xml:space="preserve">[34] Y. Kolt, "Governing AI Agents," 101 Notre Dame L. Rev. (forthcoming 2025).</w:t>
      </w:r>
    </w:p>
    <w:p>
      <w:pPr>
        <w:spacing w:after="60" w:line="240"/>
        <w:ind w:left="360" w:hanging="360"/>
      </w:pPr>
      <w:r>
        <w:rPr>
          <w:rFonts w:ascii="Arial" w:cs="Arial" w:eastAsia="Arial" w:hAnsi="Arial"/>
          <w:sz w:val="18"/>
          <w:szCs w:val="18"/>
        </w:rPr>
        <w:t xml:space="preserve">[35] KPMG, "AI Governance for the Agentic AI Era" (TACO Framework + Trusted AI), Jul. 2025.</w:t>
      </w:r>
    </w:p>
    <w:p>
      <w:pPr>
        <w:spacing w:after="60" w:line="240"/>
        <w:ind w:left="360" w:hanging="360"/>
      </w:pPr>
      <w:r>
        <w:rPr>
          <w:rFonts w:ascii="Arial" w:cs="Arial" w:eastAsia="Arial" w:hAnsi="Arial"/>
          <w:sz w:val="18"/>
          <w:szCs w:val="18"/>
        </w:rPr>
        <w:t xml:space="preserve">[36] KPMG, "Q4 2025 AI Pulse Survey," Jan. 2026.</w:t>
      </w:r>
    </w:p>
    <w:p>
      <w:pPr>
        <w:spacing w:after="60" w:line="240"/>
        <w:ind w:left="360" w:hanging="360"/>
      </w:pPr>
      <w:r>
        <w:rPr>
          <w:rFonts w:ascii="Arial" w:cs="Arial" w:eastAsia="Arial" w:hAnsi="Arial"/>
          <w:sz w:val="18"/>
          <w:szCs w:val="18"/>
        </w:rPr>
        <w:t xml:space="preserve">[37] McKinsey &amp; Company, "State of AI Trust in 2026: Shifting to the Agentic Era," Mar. 2026.</w:t>
      </w:r>
    </w:p>
    <w:p>
      <w:pPr>
        <w:spacing w:after="60" w:line="240"/>
        <w:ind w:left="360" w:hanging="360"/>
      </w:pPr>
      <w:r>
        <w:rPr>
          <w:rFonts w:ascii="Arial" w:cs="Arial" w:eastAsia="Arial" w:hAnsi="Arial"/>
          <w:sz w:val="18"/>
          <w:szCs w:val="18"/>
        </w:rPr>
        <w:t xml:space="preserve">[38] McKinsey &amp; Company, "The Agentic Organization," Dec. 2024.</w:t>
      </w:r>
    </w:p>
    <w:p>
      <w:pPr>
        <w:spacing w:after="60" w:line="240"/>
        <w:ind w:left="360" w:hanging="360"/>
      </w:pPr>
      <w:r>
        <w:rPr>
          <w:rFonts w:ascii="Arial" w:cs="Arial" w:eastAsia="Arial" w:hAnsi="Arial"/>
          <w:sz w:val="18"/>
          <w:szCs w:val="18"/>
        </w:rPr>
        <w:t xml:space="preserve">[39] McKinsey &amp; Company, "Deploying Agentic AI with Safety and Security: A Playbook," Oct. 2025.</w:t>
      </w:r>
    </w:p>
    <w:p>
      <w:pPr>
        <w:spacing w:after="60" w:line="240"/>
        <w:ind w:left="360" w:hanging="360"/>
      </w:pPr>
      <w:r>
        <w:rPr>
          <w:rFonts w:ascii="Arial" w:cs="Arial" w:eastAsia="Arial" w:hAnsi="Arial"/>
          <w:sz w:val="18"/>
          <w:szCs w:val="18"/>
        </w:rPr>
        <w:t xml:space="preserve">[40] McKinsey &amp; Company, "Seizing the Agentic AI Advantage," Jun. 2025.</w:t>
      </w:r>
    </w:p>
    <w:p>
      <w:pPr>
        <w:spacing w:after="60" w:line="240"/>
        <w:ind w:left="360" w:hanging="360"/>
      </w:pPr>
      <w:r>
        <w:rPr>
          <w:rFonts w:ascii="Arial" w:cs="Arial" w:eastAsia="Arial" w:hAnsi="Arial"/>
          <w:sz w:val="18"/>
          <w:szCs w:val="18"/>
        </w:rPr>
        <w:t xml:space="preserve">[41] AWS, "AI Risk Intelligence (AIRI) in the Agentic Era," Mar. 2026.</w:t>
      </w:r>
    </w:p>
    <w:p>
      <w:pPr>
        <w:spacing w:after="60" w:line="240"/>
        <w:ind w:left="360" w:hanging="360"/>
      </w:pPr>
      <w:r>
        <w:rPr>
          <w:rFonts w:ascii="Arial" w:cs="Arial" w:eastAsia="Arial" w:hAnsi="Arial"/>
          <w:sz w:val="18"/>
          <w:szCs w:val="18"/>
        </w:rPr>
        <w:t xml:space="preserve">[42] S. O. Rice, "Mathematical Analysis of Random Noise," Bell Syst. Tech. J., vol. 23–24, 1944–1945.</w:t>
      </w:r>
    </w:p>
    <w:p>
      <w:pPr>
        <w:spacing w:after="60" w:line="240"/>
        <w:ind w:left="360" w:hanging="360"/>
      </w:pPr>
      <w:r>
        <w:rPr>
          <w:rFonts w:ascii="Arial" w:cs="Arial" w:eastAsia="Arial" w:hAnsi="Arial"/>
          <w:sz w:val="18"/>
          <w:szCs w:val="18"/>
        </w:rPr>
        <w:t xml:space="preserve">[43] G. E. Uhlenbeck and L. S. Ornstein, "On the Theory of Brownian Motion," Phys. Rev., vol. 36, pp. 823–841, 1930.</w:t>
      </w:r>
    </w:p>
    <w:p>
      <w:pPr>
        <w:spacing w:after="60" w:line="240"/>
        <w:ind w:left="360" w:hanging="360"/>
      </w:pPr>
      <w:r>
        <w:rPr>
          <w:rFonts w:ascii="Arial" w:cs="Arial" w:eastAsia="Arial" w:hAnsi="Arial"/>
          <w:sz w:val="18"/>
          <w:szCs w:val="18"/>
        </w:rPr>
        <w:t xml:space="preserve">[44] G. S. Altshuller, Creativity as an Exact Science. New York: Gordon and Breach, 1984.</w:t>
      </w:r>
    </w:p>
    <w:p>
      <w:pPr>
        <w:spacing w:after="60" w:line="240"/>
        <w:ind w:left="360" w:hanging="360"/>
      </w:pPr>
      <w:r>
        <w:rPr>
          <w:rFonts w:ascii="Arial" w:cs="Arial" w:eastAsia="Arial" w:hAnsi="Arial"/>
          <w:sz w:val="18"/>
          <w:szCs w:val="18"/>
        </w:rPr>
        <w:t xml:space="preserve">[45] Open Policy Agent, "Rego Policy Language," https://www.openpolicyagent.org.</w:t>
      </w:r>
    </w:p>
    <w:p>
      <w:pPr>
        <w:spacing w:after="60" w:line="240"/>
        <w:ind w:left="360" w:hanging="360"/>
      </w:pPr>
      <w:r>
        <w:rPr>
          <w:rFonts w:ascii="Arial" w:cs="Arial" w:eastAsia="Arial" w:hAnsi="Arial"/>
          <w:sz w:val="18"/>
          <w:szCs w:val="18"/>
        </w:rPr>
        <w:t xml:space="preserve">[46] OWASP, "CycloneDX v1.6 Specification," 2024.</w:t>
      </w:r>
    </w:p>
    <w:p>
      <w:pPr>
        <w:spacing w:after="60" w:line="240"/>
        <w:ind w:left="360" w:hanging="360"/>
      </w:pPr>
      <w:r>
        <w:rPr>
          <w:rFonts w:ascii="Arial" w:cs="Arial" w:eastAsia="Arial" w:hAnsi="Arial"/>
          <w:sz w:val="18"/>
          <w:szCs w:val="18"/>
        </w:rPr>
        <w:t xml:space="preserve">[47] Linux Foundation, "SPDX 3.0 Specification," 2024.</w:t>
      </w:r>
    </w:p>
    <w:p>
      <w:pPr>
        <w:spacing w:after="60" w:line="240"/>
        <w:ind w:left="360" w:hanging="360"/>
      </w:pPr>
      <w:r>
        <w:rPr>
          <w:rFonts w:ascii="Arial" w:cs="Arial" w:eastAsia="Arial" w:hAnsi="Arial"/>
          <w:sz w:val="18"/>
          <w:szCs w:val="18"/>
        </w:rPr>
        <w:t xml:space="preserve">[48] Gartner, "Predicts Over 40% of Agentic AI Projects Will Be Canceled by End of 2027," Jun. 2025.</w:t>
      </w:r>
    </w:p>
    <w:p>
      <w:pPr>
        <w:spacing w:after="60" w:line="240"/>
        <w:ind w:left="360" w:hanging="360"/>
      </w:pPr>
      <w:r>
        <w:rPr>
          <w:rFonts w:ascii="Arial" w:cs="Arial" w:eastAsia="Arial" w:hAnsi="Arial"/>
          <w:sz w:val="18"/>
          <w:szCs w:val="18"/>
        </w:rPr>
        <w:t xml:space="preserve">[49] Deloitte, "State of AI in the Enterprise," 2025.</w:t>
      </w:r>
    </w:p>
    <w:p>
      <w:pPr>
        <w:spacing w:after="60" w:line="240"/>
        <w:ind w:left="360" w:hanging="360"/>
      </w:pPr>
      <w:r>
        <w:rPr>
          <w:rFonts w:ascii="Arial" w:cs="Arial" w:eastAsia="Arial" w:hAnsi="Arial"/>
          <w:sz w:val="18"/>
          <w:szCs w:val="18"/>
        </w:rPr>
        <w:t xml:space="preserve">[50] NVIDIA, "Agentic Autonomy Framework," 2025.</w:t>
      </w:r>
    </w:p>
    <w:p>
      <w:pPr>
        <w:spacing w:after="60" w:line="240"/>
        <w:ind w:left="360" w:hanging="360"/>
      </w:pPr>
      <w:r>
        <w:rPr>
          <w:rFonts w:ascii="Arial" w:cs="Arial" w:eastAsia="Arial" w:hAnsi="Arial"/>
          <w:sz w:val="18"/>
          <w:szCs w:val="18"/>
        </w:rPr>
        <w:t xml:space="preserve">[51] IDC, "AI Copilot Enterprise Embedding Forecast,"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ARHIA: An Open Governance Standard for Agentic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2026-04-04T19:05:05.404Z</dcterms:created>
  <dcterms:modified xsi:type="dcterms:W3CDTF">2026-04-04T19:05:05.436Z</dcterms:modified>
</cp:coreProperties>
</file>

<file path=docProps/custom.xml><?xml version="1.0" encoding="utf-8"?>
<Properties xmlns="http://schemas.openxmlformats.org/officeDocument/2006/custom-properties" xmlns:vt="http://schemas.openxmlformats.org/officeDocument/2006/docPropsVTypes"/>
</file>