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72"/>
          <w:szCs w:val="72"/>
        </w:rPr>
        <w:t xml:space="preserve">ARHIA</w:t>
      </w:r>
    </w:p>
    <w:p>
      <w:pPr>
        <w:spacing w:after="400"/>
        <w:jc w:val="center"/>
      </w:pPr>
      <w:r>
        <w:rPr>
          <w:rFonts w:ascii="Arial" w:cs="Arial" w:eastAsia="Arial" w:hAnsi="Arial"/>
          <w:color w:val="1B3A5C"/>
          <w:sz w:val="34"/>
          <w:szCs w:val="34"/>
        </w:rPr>
        <w:t xml:space="preserve">A Deployable Operating Architecture
for Governed Agentic Systems</w:t>
      </w:r>
    </w:p>
    <w:p>
      <w:pPr>
        <w:spacing w:after="600"/>
        <w:jc w:val="center"/>
      </w:pPr>
      <w:r>
        <w:rPr>
          <w:rFonts w:ascii="Arial" w:cs="Arial" w:eastAsia="Arial" w:hAnsi="Arial"/>
          <w:color w:val="555555"/>
          <w:sz w:val="24"/>
          <w:szCs w:val="24"/>
        </w:rPr>
        <w:t xml:space="preserve">Operationalizing CSA Agentic Trust Framework, MAESTRO,
and OWASP Agentic Top 10 (ASI01–ASI10)
in Production Enterprise Environments</w:t>
      </w:r>
    </w:p>
    <w:p>
      <w:pPr>
        <w:jc w:val="center"/>
      </w:pPr>
      <w:r>
        <w:rPr>
          <w:rFonts w:ascii="Arial" w:cs="Arial" w:eastAsia="Arial" w:hAnsi="Arial"/>
          <w:color w:val="555555"/>
          <w:sz w:val="22"/>
          <w:szCs w:val="22"/>
        </w:rPr>
        <w:t xml:space="preserve">White Paper  |  March 2026  |  Version 1.0</w:t>
      </w:r>
    </w:p>
    <w:p>
      <w:pPr>
        <w:spacing w:before="600"/>
        <w:jc w:val="center"/>
      </w:pPr>
      <w:r>
        <w:rPr>
          <w:rFonts w:ascii="Arial" w:cs="Arial" w:eastAsia="Arial" w:hAnsi="Arial"/>
          <w:b/>
          <w:bCs/>
          <w:color w:val="333333"/>
          <w:sz w:val="24"/>
          <w:szCs w:val="24"/>
        </w:rPr>
        <w:t xml:space="preserve">Sinergia Consulting Group</w:t>
      </w:r>
    </w:p>
    <w:p>
      <w:pPr>
        <w:jc w:val="center"/>
      </w:pPr>
      <w:r>
        <w:rPr>
          <w:rFonts w:ascii="Arial" w:cs="Arial" w:eastAsia="Arial" w:hAnsi="Arial"/>
          <w:color w:val="555555"/>
          <w:sz w:val="20"/>
          <w:szCs w:val="20"/>
        </w:rPr>
        <w:t xml:space="preserve">Strategic &amp; Technology Consulting  |  Bogotá, Colombia</w:t>
      </w:r>
    </w:p>
    <w:p>
      <w:pPr>
        <w:spacing w:before="400"/>
        <w:jc w:val="center"/>
      </w:pPr>
      <w:r>
        <w:rPr>
          <w:rFonts w:ascii="Arial" w:cs="Arial" w:eastAsia="Arial" w:hAnsi="Arial"/>
          <w:i/>
          <w:iCs/>
          <w:color w:val="555555"/>
          <w:sz w:val="18"/>
          <w:szCs w:val="18"/>
        </w:rPr>
        <w:t xml:space="preserve">Audience: CISOs, Enterprise Architects, AI Governance Professionals,
Implementation Partners, Regulators</w:t>
      </w:r>
    </w:p>
    <w:p>
      <w:r>
        <w:br w:type="page"/>
      </w:r>
    </w:p>
    <w:p>
      <w:pPr>
        <w:pStyle w:val="Heading1"/>
      </w:pPr>
      <w:r>
        <w:rPr>
          <w:rFonts w:ascii="Arial" w:cs="Arial" w:eastAsia="Arial" w:hAnsi="Arial"/>
          <w:b/>
          <w:bCs/>
          <w:sz w:val="34"/>
          <w:szCs w:val="34"/>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4"/>
          <w:szCs w:val="34"/>
        </w:rPr>
        <w:t xml:space="preserve">Abstract</w:t>
      </w:r>
    </w:p>
    <w:p>
      <w:pPr>
        <w:spacing w:after="140" w:line="288"/>
      </w:pPr>
      <w:r>
        <w:rPr>
          <w:rFonts w:ascii="Arial" w:cs="Arial" w:eastAsia="Arial" w:hAnsi="Arial"/>
          <w:color w:val="333333"/>
          <w:sz w:val="23"/>
          <w:szCs w:val="23"/>
        </w:rPr>
        <w:t xml:space="preserve">The agentic AI landscape has matured rapidly: CSA’s Agentic Trust Framework defines trust maturity for agents, MAESTRO provides seven-layer threat modeling, and OWASP’s Agentic Top 10 catalogs the threat taxonomy. What the industry does not yet have is the operating layer that turns all of these into a deployable system an enterprise can purchase, audit, and operate.</w:t>
      </w:r>
    </w:p>
    <w:p>
      <w:pPr>
        <w:spacing w:after="140" w:line="288"/>
      </w:pPr>
      <w:r>
        <w:rPr>
          <w:rFonts w:ascii="Arial" w:cs="Arial" w:eastAsia="Arial" w:hAnsi="Arial"/>
          <w:color w:val="333333"/>
          <w:sz w:val="23"/>
          <w:szCs w:val="23"/>
        </w:rPr>
        <w:t xml:space="preserve">ARHIA (Architecture for Responsible Heterogeneous Intelligent Agents) fills that gap. It is a vendor-agnostic, runtime-agnostic operating architecture that implements the controls defined by CSA, OWASP, and NIST as concrete, deployable components: a trust kernel with per-action authorization, ephemeral capability tokens, policy-as-code via OPA/Rego, an AI Bill of Materials registry, MCP governance with dual-path interception, formal autonomy management, and an immutable evidence ledger.</w:t>
      </w:r>
    </w:p>
    <w:p>
      <w:pPr>
        <w:spacing w:after="140" w:line="288"/>
      </w:pPr>
      <w:r>
        <w:rPr>
          <w:rFonts w:ascii="Arial" w:cs="Arial" w:eastAsia="Arial" w:hAnsi="Arial"/>
          <w:color w:val="333333"/>
          <w:sz w:val="23"/>
          <w:szCs w:val="23"/>
        </w:rPr>
        <w:t xml:space="preserve">This white paper describes the gap ARHIA addresses, how it maps to each major governance framework, the architecture of the Agentic Trust Kernel, a field case study from organizational diagnostics, a comparison with emerging alternatives, and a path to adoption for enterprises and implementation partners.</w:t>
      </w:r>
    </w:p>
    <w:p>
      <w:r>
        <w:br w:type="page"/>
      </w:r>
    </w:p>
    <w:p>
      <w:pPr>
        <w:pStyle w:val="Heading1"/>
      </w:pPr>
      <w:r>
        <w:rPr>
          <w:rFonts w:ascii="Arial" w:cs="Arial" w:eastAsia="Arial" w:hAnsi="Arial"/>
          <w:b/>
          <w:bCs/>
          <w:sz w:val="34"/>
          <w:szCs w:val="34"/>
        </w:rPr>
        <w:t xml:space="preserve">1. The Governance Gap in Agentic AI</w:t>
      </w:r>
    </w:p>
    <w:p>
      <w:pPr>
        <w:spacing w:after="140" w:line="288"/>
      </w:pPr>
      <w:r>
        <w:rPr>
          <w:rFonts w:ascii="Arial" w:cs="Arial" w:eastAsia="Arial" w:hAnsi="Arial"/>
          <w:color w:val="333333"/>
          <w:sz w:val="23"/>
          <w:szCs w:val="23"/>
        </w:rPr>
        <w:t xml:space="preserve">As of March 2026, organizations can build agents. What they cannot do is govern them in production across heterogeneous tools, models, data classes, and business processes. The frameworks exist, but the deployment layer does not.</w:t>
      </w:r>
    </w:p>
    <w:p>
      <w:pPr>
        <w:pStyle w:val="Heading2"/>
      </w:pPr>
      <w:r>
        <w:rPr>
          <w:rFonts w:ascii="Arial" w:cs="Arial" w:eastAsia="Arial" w:hAnsi="Arial"/>
          <w:b/>
          <w:bCs/>
          <w:sz w:val="28"/>
          <w:szCs w:val="28"/>
        </w:rPr>
        <w:t xml:space="preserve">1.1 What Exists Today</w:t>
      </w:r>
    </w:p>
    <w:p>
      <w:pPr>
        <w:spacing w:after="140" w:line="288"/>
      </w:pPr>
      <w:r>
        <w:rPr>
          <w:rFonts w:ascii="Arial" w:cs="Arial" w:eastAsia="Arial" w:hAnsi="Arial"/>
          <w:color w:val="333333"/>
          <w:sz w:val="23"/>
          <w:szCs w:val="23"/>
        </w:rPr>
        <w:t xml:space="preserve">The Cloud Security Alliance published the Agentic Trust Framework (ATF) in 2026, defining a five-question maturity model with five agent levels (Intern through Executive) and explicit promotion gates. CSA’s MAESTRO framework (February 2025) provides a seven-layer threat modeling methodology from Foundation Models through Agent Ecosystem. OWASP released the Top 10 for Agentic Applications (December 2025) with the ASI01–ASI10 taxonomy, validated by 100+ experts including NIST and the Alan Turing Institute. Singapore’s CSA published an Addendum on Securing Agentic AI (October 2025) with capability-based risk framing. NIST is developing AI control overlays for SP 800-53. MCP has become the de facto interoperability protocol for agent tool use.</w:t>
      </w:r>
    </w:p>
    <w:p>
      <w:pPr>
        <w:pStyle w:val="Heading2"/>
      </w:pPr>
      <w:r>
        <w:rPr>
          <w:rFonts w:ascii="Arial" w:cs="Arial" w:eastAsia="Arial" w:hAnsi="Arial"/>
          <w:b/>
          <w:bCs/>
          <w:sz w:val="28"/>
          <w:szCs w:val="28"/>
        </w:rPr>
        <w:t xml:space="preserve">1.2 What Is Missing</w:t>
      </w:r>
    </w:p>
    <w:p>
      <w:pPr>
        <w:spacing w:after="140" w:line="288"/>
      </w:pPr>
      <w:r>
        <w:rPr>
          <w:rFonts w:ascii="Arial" w:cs="Arial" w:eastAsia="Arial" w:hAnsi="Arial"/>
          <w:color w:val="333333"/>
          <w:sz w:val="23"/>
          <w:szCs w:val="23"/>
        </w:rPr>
        <w:t xml:space="preserve">None of these frameworks answer the operational question: given a specific agent that needs to read a customer’s financial records, invoke an external API, and compose a response — how does the enterprise decide, in real time, whether that specific action by that specific agent on that specific data is authorized? And how does it prove, after the fact, that the decision was made correctly?</w:t>
      </w:r>
    </w:p>
    <w:p>
      <w:pPr>
        <w:spacing w:after="140" w:line="288"/>
      </w:pPr>
      <w:r>
        <w:rPr>
          <w:rFonts w:ascii="Arial" w:cs="Arial" w:eastAsia="Arial" w:hAnsi="Arial"/>
          <w:color w:val="333333"/>
          <w:sz w:val="23"/>
          <w:szCs w:val="23"/>
        </w:rPr>
        <w:t xml:space="preserve">The gap is not conceptual. It is architectural. Enterprises need: per-action trust decisions (not session-level), ephemeral capability tokens scoped to the action, data classification that governs where code runs (not just what it accesses), a formal autonomy model that degrades automatically under drift, evidence that is immutable and auditable, and human intervention surfaces that present curated evidence rather than raw data. No single product or framework delivers all of these today.</w:t>
      </w:r>
    </w:p>
    <w:p>
      <w:r>
        <w:br w:type="page"/>
      </w:r>
    </w:p>
    <w:p>
      <w:pPr>
        <w:pStyle w:val="Heading1"/>
      </w:pPr>
      <w:r>
        <w:rPr>
          <w:rFonts w:ascii="Arial" w:cs="Arial" w:eastAsia="Arial" w:hAnsi="Arial"/>
          <w:b/>
          <w:bCs/>
          <w:sz w:val="34"/>
          <w:szCs w:val="34"/>
        </w:rPr>
        <w:t xml:space="preserve">2. What ARHIA Is (and What It Is Not)</w:t>
      </w:r>
    </w:p>
    <w:p>
      <w:pPr>
        <w:pStyle w:val="Heading2"/>
      </w:pPr>
      <w:r>
        <w:rPr>
          <w:rFonts w:ascii="Arial" w:cs="Arial" w:eastAsia="Arial" w:hAnsi="Arial"/>
          <w:b/>
          <w:bCs/>
          <w:sz w:val="28"/>
          <w:szCs w:val="28"/>
        </w:rPr>
        <w:t xml:space="preserve">2.1 ARHIA Is the Deployable Operating Layer</w:t>
      </w:r>
    </w:p>
    <w:p>
      <w:pPr>
        <w:spacing w:after="140" w:line="288"/>
      </w:pPr>
      <w:r>
        <w:rPr>
          <w:rFonts w:ascii="Arial" w:cs="Arial" w:eastAsia="Arial" w:hAnsi="Arial"/>
          <w:color w:val="333333"/>
          <w:sz w:val="23"/>
          <w:szCs w:val="23"/>
        </w:rPr>
        <w:t xml:space="preserve">ARHIA is the operating reference architecture that turns governance frameworks, risk taxonomies, and interoperability protocols into a deployable enterprise system. It does not replace CSA ATF, MAESTRO, OWASP, NIST, or MCP. It implements them in a way that can be audited, operated, and purchased by an enterprise.</w:t>
      </w:r>
    </w:p>
    <w:p>
      <w:pPr>
        <w:spacing w:after="140" w:line="288"/>
      </w:pPr>
      <w:r>
        <w:rPr>
          <w:rFonts w:ascii="Arial" w:cs="Arial" w:eastAsia="Arial" w:hAnsi="Arial"/>
          <w:color w:val="333333"/>
          <w:sz w:val="23"/>
          <w:szCs w:val="23"/>
        </w:rPr>
        <w:t xml:space="preserve">Think of it this way: CSA ATF is the building code. OWASP ASI is the list of structural hazards. MAESTRO is the inspection checklist. ARHIA is the construction blueprint — with the plumbing, wiring, and fire suppression already designed and tested.</w:t>
      </w:r>
    </w:p>
    <w:p>
      <w:pPr>
        <w:pStyle w:val="Heading2"/>
      </w:pPr>
      <w:r>
        <w:rPr>
          <w:rFonts w:ascii="Arial" w:cs="Arial" w:eastAsia="Arial" w:hAnsi="Arial"/>
          <w:b/>
          <w:bCs/>
          <w:sz w:val="28"/>
          <w:szCs w:val="28"/>
        </w:rPr>
        <w:t xml:space="preserve">2.2 ARHIA Is Not</w:t>
      </w:r>
    </w:p>
    <w:p>
      <w:pPr>
        <w:spacing w:after="140" w:line="288"/>
      </w:pPr>
      <w:r>
        <w:rPr>
          <w:rFonts w:ascii="Arial" w:cs="Arial" w:eastAsia="Arial" w:hAnsi="Arial"/>
          <w:b/>
          <w:bCs/>
          <w:color w:val="333333"/>
          <w:sz w:val="23"/>
          <w:szCs w:val="23"/>
        </w:rPr>
        <w:t xml:space="preserve">Not a runtime security product: </w:t>
      </w:r>
      <w:r>
        <w:rPr>
          <w:rFonts w:ascii="Arial" w:cs="Arial" w:eastAsia="Arial" w:hAnsi="Arial"/>
          <w:color w:val="333333"/>
          <w:sz w:val="23"/>
          <w:szCs w:val="23"/>
        </w:rPr>
        <w:t xml:space="preserve">ARHIA is an architecture, not a SaaS tool. It specifies what components are needed, how they interact, and what contracts they enforce. The components themselves can be implemented with any technology stack.</w:t>
      </w:r>
    </w:p>
    <w:p>
      <w:pPr>
        <w:spacing w:after="140" w:line="288"/>
      </w:pPr>
      <w:r>
        <w:rPr>
          <w:rFonts w:ascii="Arial" w:cs="Arial" w:eastAsia="Arial" w:hAnsi="Arial"/>
          <w:b/>
          <w:bCs/>
          <w:color w:val="333333"/>
          <w:sz w:val="23"/>
          <w:szCs w:val="23"/>
        </w:rPr>
        <w:t xml:space="preserve">Not a replacement for existing frameworks: </w:t>
      </w:r>
      <w:r>
        <w:rPr>
          <w:rFonts w:ascii="Arial" w:cs="Arial" w:eastAsia="Arial" w:hAnsi="Arial"/>
          <w:color w:val="333333"/>
          <w:sz w:val="23"/>
          <w:szCs w:val="23"/>
        </w:rPr>
        <w:t xml:space="preserve">ARHIA explicitly operationalizes CSA, OWASP, and NIST. It references them, maps to them, and depends on them for its threat model and maturity definitions.</w:t>
      </w:r>
    </w:p>
    <w:p>
      <w:pPr>
        <w:spacing w:after="140" w:line="288"/>
      </w:pPr>
      <w:r>
        <w:rPr>
          <w:rFonts w:ascii="Arial" w:cs="Arial" w:eastAsia="Arial" w:hAnsi="Arial"/>
          <w:b/>
          <w:bCs/>
          <w:color w:val="333333"/>
          <w:sz w:val="23"/>
          <w:szCs w:val="23"/>
        </w:rPr>
        <w:t xml:space="preserve">Not vendor-locked: </w:t>
      </w:r>
      <w:r>
        <w:rPr>
          <w:rFonts w:ascii="Arial" w:cs="Arial" w:eastAsia="Arial" w:hAnsi="Arial"/>
          <w:color w:val="333333"/>
          <w:sz w:val="23"/>
          <w:szCs w:val="23"/>
        </w:rPr>
        <w:t xml:space="preserve">ARHIA works across any LLM provider, any RPA platform, any cloud environment. The trust nucleus is independent of the execution runtime.</w:t>
      </w:r>
    </w:p>
    <w:p>
      <w:r>
        <w:br w:type="page"/>
      </w:r>
    </w:p>
    <w:p>
      <w:pPr>
        <w:pStyle w:val="Heading1"/>
      </w:pPr>
      <w:r>
        <w:rPr>
          <w:rFonts w:ascii="Arial" w:cs="Arial" w:eastAsia="Arial" w:hAnsi="Arial"/>
          <w:b/>
          <w:bCs/>
          <w:sz w:val="34"/>
          <w:szCs w:val="34"/>
        </w:rPr>
        <w:t xml:space="preserve">3. Architecture: Three Planes of Governed Agentic Execution</w:t>
      </w:r>
    </w:p>
    <w:p>
      <w:pPr>
        <w:spacing w:after="140" w:line="288"/>
      </w:pPr>
      <w:r>
        <w:rPr>
          <w:rFonts w:ascii="Arial" w:cs="Arial" w:eastAsia="Arial" w:hAnsi="Arial"/>
          <w:color w:val="333333"/>
          <w:sz w:val="23"/>
          <w:szCs w:val="23"/>
        </w:rPr>
        <w:t xml:space="preserve">ARHIA separates concerns into three planes. This separation lets enterprises change runtimes without changing the trust nucleus.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Plane</w:t>
            </w:r>
          </w:p>
        </w:tc>
        <w:tc>
          <w:tcPr>
            <w:tcW w:type="dxa" w:w="35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Core Services</w:t>
            </w:r>
          </w:p>
        </w:tc>
        <w:tc>
          <w:tcPr>
            <w:tcW w:type="dxa" w:w="42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Trust Plane</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Agentic Trust Kernel (ATK), OPA/Rego policy engine, capability token issuer, AIBOM validator, residency guard, risk evaluator</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Decides whether an action may happen. Issues ephemeral JWT capability tokens. Validates model supply chain. Records evidence.</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Control Plane</w:t>
            </w:r>
          </w:p>
        </w:tc>
        <w:tc>
          <w:tcPr>
            <w:tcW w:type="dxa" w:w="35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State orchestrator, case manager, trace correlator, exception manager, learning intake, human workbench</w:t>
            </w:r>
          </w:p>
        </w:tc>
        <w:tc>
          <w:tcPr>
            <w:tcW w:type="dxa" w:w="42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Coordinates case progression. Manages phase transitions. Routes exceptions. Captures human decisions.</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Execution Plane</w:t>
            </w:r>
          </w:p>
        </w:tc>
        <w:tc>
          <w:tcPr>
            <w:tcW w:type="dxa" w:w="3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Agents, RPA bots, MCP clients, connectors, APIs, workbench UI</w:t>
            </w:r>
          </w:p>
        </w:tc>
        <w:tc>
          <w:tcPr>
            <w:tcW w:type="dxa" w:w="42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Performs the work. Every tool call goes through the MCP interceptor. Every result is evidence.</w:t>
            </w:r>
          </w:p>
        </w:tc>
      </w:tr>
    </w:tbl>
    <w:p>
      <w:r>
        <w:br w:type="page"/>
      </w:r>
    </w:p>
    <w:p>
      <w:pPr>
        <w:pStyle w:val="Heading1"/>
      </w:pPr>
      <w:r>
        <w:rPr>
          <w:rFonts w:ascii="Arial" w:cs="Arial" w:eastAsia="Arial" w:hAnsi="Arial"/>
          <w:b/>
          <w:bCs/>
          <w:sz w:val="34"/>
          <w:szCs w:val="34"/>
        </w:rPr>
        <w:t xml:space="preserve">4. The Agentic Trust Kernel (ATK)</w:t>
      </w:r>
    </w:p>
    <w:p>
      <w:pPr>
        <w:spacing w:after="140" w:line="288"/>
      </w:pPr>
      <w:r>
        <w:rPr>
          <w:rFonts w:ascii="Arial" w:cs="Arial" w:eastAsia="Arial" w:hAnsi="Arial"/>
          <w:color w:val="333333"/>
          <w:sz w:val="23"/>
          <w:szCs w:val="23"/>
        </w:rPr>
        <w:t xml:space="preserve">The ATK is the security nucleus of ARHIA. It evaluates every material action using five input envelopes and produces one of six decision outcomes.</w:t>
      </w:r>
    </w:p>
    <w:p>
      <w:pPr>
        <w:pStyle w:val="Heading2"/>
      </w:pPr>
      <w:r>
        <w:rPr>
          <w:rFonts w:ascii="Arial" w:cs="Arial" w:eastAsia="Arial" w:hAnsi="Arial"/>
          <w:b/>
          <w:bCs/>
          <w:sz w:val="28"/>
          <w:szCs w:val="28"/>
        </w:rPr>
        <w:t xml:space="preserve">4.1 Five Input Envelopes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Envelope</w:t>
            </w:r>
          </w:p>
        </w:tc>
        <w:tc>
          <w:tcPr>
            <w:tcW w:type="dxa" w:w="71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Contents</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Identity</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actor_id, tenant, environment, capability_id, role attributes</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Action</w:t>
            </w:r>
          </w:p>
        </w:tc>
        <w:tc>
          <w:tcPr>
            <w:tcW w:type="dxa" w:w="71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Requested capability, target resource, operation type</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Data</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Classification ceiling, zone, expected output class, egress requirements</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Runtime</w:t>
            </w:r>
          </w:p>
        </w:tc>
        <w:tc>
          <w:tcPr>
            <w:tcW w:type="dxa" w:w="71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trace_id, case_id, autonomy level requested, drift state, trust signals</w:t>
            </w:r>
          </w:p>
        </w:tc>
      </w:tr>
      <w:tr>
        <w:tc>
          <w:tcPr>
            <w:tcW w:type="dxa" w:w="2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Policy / Supply Chain</w:t>
            </w:r>
          </w:p>
        </w:tc>
        <w:tc>
          <w:tcPr>
            <w:tcW w:type="dxa" w:w="7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Policy bundle version, AIBOM reference, model trust status</w:t>
            </w:r>
          </w:p>
        </w:tc>
      </w:tr>
    </w:tbl>
    <w:p>
      <w:pPr>
        <w:pStyle w:val="Heading2"/>
      </w:pPr>
      <w:r>
        <w:rPr>
          <w:rFonts w:ascii="Arial" w:cs="Arial" w:eastAsia="Arial" w:hAnsi="Arial"/>
          <w:b/>
          <w:bCs/>
          <w:sz w:val="28"/>
          <w:szCs w:val="28"/>
        </w:rPr>
        <w:t xml:space="preserve">4.2 Six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Decision</w:t>
            </w:r>
          </w:p>
        </w:tc>
        <w:tc>
          <w:tcPr>
            <w:tcW w:type="dxa" w:w="67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Operational Effect</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allow</w:t>
            </w:r>
          </w:p>
        </w:tc>
        <w:tc>
          <w:tcPr>
            <w:tcW w:type="dxa" w:w="6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Issue ephemeral JWT capability token with constraints (scope, TTL, audience, zone)</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allow_with_restrictions</w:t>
            </w:r>
          </w:p>
        </w:tc>
        <w:tc>
          <w:tcPr>
            <w:tcW w:type="dxa" w:w="6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Token with reduced scope, shorter TTL, or mandatory masking (e.g., AIBOM approaching staleness)</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require_human_approval</w:t>
            </w:r>
          </w:p>
        </w:tc>
        <w:tc>
          <w:tcPr>
            <w:tcW w:type="dxa" w:w="6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Route to workbench; token withheld until human decision is captured</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deny</w:t>
            </w:r>
          </w:p>
        </w:tc>
        <w:tc>
          <w:tcPr>
            <w:tcW w:type="dxa" w:w="6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No execution; reason code, explanation record, and evidence recorded to ledger</w:t>
            </w:r>
          </w:p>
        </w:tc>
      </w:tr>
      <w:tr>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degrade_autonomy</w:t>
            </w:r>
          </w:p>
        </w:tc>
        <w:tc>
          <w:tcPr>
            <w:tcW w:type="dxa" w:w="6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Reduce effective autonomy level before proceeding; notify Control Plane</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quarantine_actor</w:t>
            </w:r>
          </w:p>
        </w:tc>
        <w:tc>
          <w:tcPr>
            <w:tcW w:type="dxa" w:w="6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Immediate containment, hot token revocation, incident record created</w:t>
            </w:r>
          </w:p>
        </w:tc>
      </w:tr>
    </w:tbl>
    <w:p>
      <w:pPr>
        <w:pStyle w:val="Heading2"/>
      </w:pPr>
      <w:r>
        <w:rPr>
          <w:rFonts w:ascii="Arial" w:cs="Arial" w:eastAsia="Arial" w:hAnsi="Arial"/>
          <w:b/>
          <w:bCs/>
          <w:sz w:val="28"/>
          <w:szCs w:val="28"/>
        </w:rPr>
        <w:t xml:space="preserve">4.3 Key ATK Mechanisms</w:t>
      </w:r>
    </w:p>
    <w:p>
      <w:pPr>
        <w:spacing w:after="140" w:line="288"/>
      </w:pPr>
      <w:r>
        <w:rPr>
          <w:rFonts w:ascii="Arial" w:cs="Arial" w:eastAsia="Arial" w:hAnsi="Arial"/>
          <w:b/>
          <w:bCs/>
          <w:color w:val="333333"/>
          <w:sz w:val="23"/>
          <w:szCs w:val="23"/>
        </w:rPr>
        <w:t xml:space="preserve">Ephemeral JWT Capability Tokens: </w:t>
      </w:r>
      <w:r>
        <w:rPr>
          <w:rFonts w:ascii="Arial" w:cs="Arial" w:eastAsia="Arial" w:hAnsi="Arial"/>
          <w:color w:val="333333"/>
          <w:sz w:val="23"/>
          <w:szCs w:val="23"/>
        </w:rPr>
        <w:t xml:space="preserve">Each approved action receives a JWT token with sub (actor), cap (capability), aud (target MCP server), exp (expiration, typically 60–120 seconds), and scope (zone, classification ceiling). Tokens are never persistent. They are issued per action, not per session.</w:t>
      </w:r>
    </w:p>
    <w:p>
      <w:pPr>
        <w:spacing w:after="140" w:line="288"/>
      </w:pPr>
      <w:r>
        <w:rPr>
          <w:rFonts w:ascii="Arial" w:cs="Arial" w:eastAsia="Arial" w:hAnsi="Arial"/>
          <w:b/>
          <w:bCs/>
          <w:color w:val="333333"/>
          <w:sz w:val="23"/>
          <w:szCs w:val="23"/>
        </w:rPr>
        <w:t xml:space="preserve">Policy-as-Code (OPA/Rego): </w:t>
      </w:r>
      <w:r>
        <w:rPr>
          <w:rFonts w:ascii="Arial" w:cs="Arial" w:eastAsia="Arial" w:hAnsi="Arial"/>
          <w:color w:val="333333"/>
          <w:sz w:val="23"/>
          <w:szCs w:val="23"/>
        </w:rPr>
        <w:t xml:space="preserve">Trust decisions are evaluated by OPA against versioned Rego policy bundles. Policies are tested (minimum 6 test cases per bundle), signed, and promoted through a staged pipeline: develop → test → staging → production.</w:t>
      </w:r>
    </w:p>
    <w:p>
      <w:pPr>
        <w:spacing w:after="140" w:line="288"/>
      </w:pPr>
      <w:r>
        <w:rPr>
          <w:rFonts w:ascii="Arial" w:cs="Arial" w:eastAsia="Arial" w:hAnsi="Arial"/>
          <w:b/>
          <w:bCs/>
          <w:color w:val="333333"/>
          <w:sz w:val="23"/>
          <w:szCs w:val="23"/>
        </w:rPr>
        <w:t xml:space="preserve">AI Bill of Materials (AIBOM): </w:t>
      </w:r>
      <w:r>
        <w:rPr>
          <w:rFonts w:ascii="Arial" w:cs="Arial" w:eastAsia="Arial" w:hAnsi="Arial"/>
          <w:color w:val="333333"/>
          <w:sz w:val="23"/>
          <w:szCs w:val="23"/>
        </w:rPr>
        <w:t xml:space="preserve">Every model participating in high-risk execution must have a registered AIBOM with 12 minimum fields (model_id, publisher, provenance, license, hash, signature_status, runtime_version, dependency_chain, zone_allowance, approval_status, last_validated, risk_classification). The ATK validates the AIBOM in a 7-check sequence before authorizing execution.</w:t>
      </w:r>
    </w:p>
    <w:p>
      <w:pPr>
        <w:spacing w:after="140" w:line="288"/>
      </w:pPr>
      <w:r>
        <w:rPr>
          <w:rFonts w:ascii="Arial" w:cs="Arial" w:eastAsia="Arial" w:hAnsi="Arial"/>
          <w:b/>
          <w:bCs/>
          <w:color w:val="333333"/>
          <w:sz w:val="23"/>
          <w:szCs w:val="23"/>
        </w:rPr>
        <w:t xml:space="preserve">Immutable Evidence Ledger: </w:t>
      </w:r>
      <w:r>
        <w:rPr>
          <w:rFonts w:ascii="Arial" w:cs="Arial" w:eastAsia="Arial" w:hAnsi="Arial"/>
          <w:color w:val="333333"/>
          <w:sz w:val="23"/>
          <w:szCs w:val="23"/>
        </w:rPr>
        <w:t xml:space="preserve">Every ATK decision is recorded in an append-only ledger with hash-chain integrity and HMAC signing. Each entry references the previous entry’s SHA-256 hash. Tampering is detectable. A verification endpoint confirms chain integrity and HMAC validity on demand.</w:t>
      </w:r>
    </w:p>
    <w:p>
      <w:pPr>
        <w:spacing w:after="140" w:line="288"/>
      </w:pPr>
      <w:r>
        <w:rPr>
          <w:rFonts w:ascii="Arial" w:cs="Arial" w:eastAsia="Arial" w:hAnsi="Arial"/>
          <w:b/>
          <w:bCs/>
          <w:color w:val="333333"/>
          <w:sz w:val="23"/>
          <w:szCs w:val="23"/>
        </w:rPr>
        <w:t xml:space="preserve">MCP Dual-Path Governance: </w:t>
      </w:r>
      <w:r>
        <w:rPr>
          <w:rFonts w:ascii="Arial" w:cs="Arial" w:eastAsia="Arial" w:hAnsi="Arial"/>
          <w:color w:val="333333"/>
          <w:sz w:val="23"/>
          <w:szCs w:val="23"/>
        </w:rPr>
        <w:t xml:space="preserve">The MCP interceptor operates in dual path: synchronous for authorization (JWT validation, scope checking, timing budget of 200ms) and asynchronous for extended analytics and evidence enrichment. Return-path classification is mandatory for high-risk capabilities.</w:t>
      </w:r>
    </w:p>
    <w:p>
      <w:r>
        <w:br w:type="page"/>
      </w:r>
    </w:p>
    <w:p>
      <w:pPr>
        <w:pStyle w:val="Heading1"/>
      </w:pPr>
      <w:r>
        <w:rPr>
          <w:rFonts w:ascii="Arial" w:cs="Arial" w:eastAsia="Arial" w:hAnsi="Arial"/>
          <w:b/>
          <w:bCs/>
          <w:sz w:val="34"/>
          <w:szCs w:val="34"/>
        </w:rPr>
        <w:t xml:space="preserve">5. Framework Crosswalk: CSA Agentic Trust Framework</w:t>
      </w:r>
    </w:p>
    <w:p>
      <w:pPr>
        <w:spacing w:after="140" w:line="288"/>
      </w:pPr>
      <w:r>
        <w:rPr>
          <w:rFonts w:ascii="Arial" w:cs="Arial" w:eastAsia="Arial" w:hAnsi="Arial"/>
          <w:color w:val="333333"/>
          <w:sz w:val="23"/>
          <w:szCs w:val="23"/>
        </w:rPr>
        <w:t xml:space="preserve">The CSA ATF defines a five-question maturity model with five agent levels. ARHIA’s A0–A4 autonomy scale maps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CSA ATF Level</w:t>
            </w:r>
          </w:p>
        </w:tc>
        <w:tc>
          <w:tcPr>
            <w:tcW w:type="dxa" w:w="16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ARHIA Level</w:t>
            </w:r>
          </w:p>
        </w:tc>
        <w:tc>
          <w:tcPr>
            <w:tcW w:type="dxa" w:w="63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ARHIA Implementation</w:t>
            </w:r>
          </w:p>
        </w:tc>
      </w:tr>
      <w:tr>
        <w:tc>
          <w:tcPr>
            <w:tcW w:type="dxa" w:w="14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Intern (L1)</w:t>
            </w:r>
          </w:p>
        </w:tc>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A0 — Suggestion only</w:t>
            </w:r>
          </w:p>
        </w:tc>
        <w:tc>
          <w:tcPr>
            <w:tcW w:type="dxa" w:w="63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 can recommend but not execute. All outputs presented to workbench for human decision.</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Junior (L2)</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A1 — Copilot with approval</w:t>
            </w:r>
          </w:p>
        </w:tc>
        <w:tc>
          <w:tcPr>
            <w:tcW w:type="dxa" w:w="6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Agent prepares actions for human review. Low-risk actions may execute with monitoring.</w:t>
            </w:r>
          </w:p>
        </w:tc>
      </w:tr>
      <w:tr>
        <w:tc>
          <w:tcPr>
            <w:tcW w:type="dxa" w:w="14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Senior (L3)</w:t>
            </w:r>
          </w:p>
        </w:tc>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A2 — Supervised execution</w:t>
            </w:r>
          </w:p>
        </w:tc>
        <w:tc>
          <w:tcPr>
            <w:tcW w:type="dxa" w:w="63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 executes bounded actions with continuous monitoring. Medium-risk threshold triggers workbench.</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Lead (L4)</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A3 — Autonomous with audit</w:t>
            </w:r>
          </w:p>
        </w:tc>
        <w:tc>
          <w:tcPr>
            <w:tcW w:type="dxa" w:w="6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Agent operates autonomously within a bounded domain. Evidence trail required. Architecture Board approval for promotion.</w:t>
            </w:r>
          </w:p>
        </w:tc>
      </w:tr>
      <w:tr>
        <w:tc>
          <w:tcPr>
            <w:tcW w:type="dxa" w:w="14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Executive (L5)</w:t>
            </w:r>
          </w:p>
        </w:tc>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A4 — Restricted full autonomy</w:t>
            </w:r>
          </w:p>
        </w:tc>
        <w:tc>
          <w:tcPr>
            <w:tcW w:type="dxa" w:w="63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Highest bounded autonomy. Exceptional evidence, executive approval, continuous behavioral monitoring.</w:t>
            </w:r>
          </w:p>
        </w:tc>
      </w:tr>
    </w:tbl>
    <w:p>
      <w:pPr>
        <w:spacing w:after="140" w:line="288"/>
      </w:pPr>
      <w:r>
        <w:rPr>
          <w:rFonts w:ascii="Arial" w:cs="Arial" w:eastAsia="Arial" w:hAnsi="Arial"/>
          <w:color w:val="333333"/>
          <w:sz w:val="23"/>
          <w:szCs w:val="23"/>
        </w:rPr>
        <w:t xml:space="preserve">ARHIA’s promotion gates satisfy the ATF’s five promotion requirements: demonstrated accuracy maps to drift monitoring, security audit maps to AIBOM validation and policy compliance, measurable impact maps to evidence ledger metrics, clean history maps to zero critical incidents during evaluation period, and stakeholder approval maps to the formal approval hierarchy (capability owner for A0→A2, Architecture Board for A2→A3, Executive sponsor for A3→A4).</w:t>
      </w:r>
    </w:p>
    <w:p>
      <w:pPr>
        <w:spacing w:after="140" w:line="288"/>
      </w:pPr>
      <w:r>
        <w:rPr>
          <w:rFonts w:ascii="Arial" w:cs="Arial" w:eastAsia="Arial" w:hAnsi="Arial"/>
          <w:color w:val="333333"/>
          <w:sz w:val="23"/>
          <w:szCs w:val="23"/>
        </w:rPr>
        <w:t xml:space="preserve">Degradation in ARHIA is automatic and immediate when trust weakens: drift exceeds threshold, AIBOM status changes, classification ceiling changes, or a critical policy incident is detected. This is stricter than the ATF’s promotion model, which does not explicitly define degradation mechanics. ARHIA adds this as a necessary operational safeguard.</w:t>
      </w:r>
    </w:p>
    <w:p>
      <w:r>
        <w:br w:type="page"/>
      </w:r>
    </w:p>
    <w:p>
      <w:pPr>
        <w:pStyle w:val="Heading1"/>
      </w:pPr>
      <w:r>
        <w:rPr>
          <w:rFonts w:ascii="Arial" w:cs="Arial" w:eastAsia="Arial" w:hAnsi="Arial"/>
          <w:b/>
          <w:bCs/>
          <w:sz w:val="34"/>
          <w:szCs w:val="34"/>
        </w:rPr>
        <w:t xml:space="preserve">6. Framework Crosswalk: CSA MAESTRO</w:t>
      </w:r>
    </w:p>
    <w:p>
      <w:pPr>
        <w:spacing w:after="140" w:line="288"/>
      </w:pPr>
      <w:r>
        <w:rPr>
          <w:rFonts w:ascii="Arial" w:cs="Arial" w:eastAsia="Arial" w:hAnsi="Arial"/>
          <w:color w:val="333333"/>
          <w:sz w:val="23"/>
          <w:szCs w:val="23"/>
        </w:rPr>
        <w:t xml:space="preserve">MAESTRO (Multi-Agent Environment, Security, Threat, Risk and Outcome) provides a seven-layer reference architecture for agentic AI threat modeling. ARHIA maps each layer to concrete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MAESTRO Layer</w:t>
            </w:r>
          </w:p>
        </w:tc>
        <w:tc>
          <w:tcPr>
            <w:tcW w:type="dxa" w:w="20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61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ARHIA Mapping</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Layer 1: Foundation Models</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Core LLMs providing reasoning and generation</w:t>
            </w:r>
          </w:p>
        </w:tc>
        <w:tc>
          <w:tcPr>
            <w:tcW w:type="dxa" w:w="6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Trust Plane: AIBOM validation, model trust checks, zone-based model selection</w:t>
            </w:r>
          </w:p>
        </w:tc>
      </w:tr>
      <w:tr>
        <w:tc>
          <w:tcPr>
            <w:tcW w:type="dxa" w:w="1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Layer 2: Data Operations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Data pipelines, storage, vector embeddings</w:t>
            </w:r>
          </w:p>
        </w:tc>
        <w:tc>
          <w:tcPr>
            <w:tcW w:type="dxa" w:w="61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Data classification envelope, zoned execution, egress controls</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Layer 3: Agent Frameworks</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Orchestration, reasoning loops, tool dispatch</w:t>
            </w:r>
          </w:p>
        </w:tc>
        <w:tc>
          <w:tcPr>
            <w:tcW w:type="dxa" w:w="6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Control Plane: state orchestrator, composition contracts, case management</w:t>
            </w:r>
          </w:p>
        </w:tc>
      </w:tr>
      <w:tr>
        <w:tc>
          <w:tcPr>
            <w:tcW w:type="dxa" w:w="1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Layer 4: Deployment Infra</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Containers, cloud, network</w:t>
            </w:r>
          </w:p>
        </w:tc>
        <w:tc>
          <w:tcPr>
            <w:tcW w:type="dxa" w:w="61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Zoned deployment model (on-prem, private cloud, external cloud by data class)</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Layer 5: Eval &amp; Observability</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Monitoring, testing, behavioral baselines</w:t>
            </w:r>
          </w:p>
        </w:tc>
        <w:tc>
          <w:tcPr>
            <w:tcW w:type="dxa" w:w="6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Observability Fabric: OpenTelemetry, dashboards, retention, drift detection</w:t>
            </w:r>
          </w:p>
        </w:tc>
      </w:tr>
      <w:tr>
        <w:tc>
          <w:tcPr>
            <w:tcW w:type="dxa" w:w="1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Layer 6: Security &amp; Compliance</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Access control, privacy, regulatory</w:t>
            </w:r>
          </w:p>
        </w:tc>
        <w:tc>
          <w:tcPr>
            <w:tcW w:type="dxa" w:w="61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Trust Plane: ATK, OPA/Rego policy bundles, capability tokens, audit evidence</w:t>
            </w:r>
          </w:p>
        </w:tc>
      </w:tr>
      <w:tr>
        <w:tc>
          <w:tcPr>
            <w:tcW w:type="dxa" w:w="12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Layer 7: Agent Ecosystem</w:t>
            </w:r>
          </w:p>
        </w:tc>
        <w:tc>
          <w:tcPr>
            <w:tcW w:type="dxa" w:w="2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Multi-agent interactions, marketplaces</w:t>
            </w:r>
          </w:p>
        </w:tc>
        <w:tc>
          <w:tcPr>
            <w:tcW w:type="dxa" w:w="61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MCP governance, dual-path interceptor, inter-agent composition contracts, workbench</w:t>
            </w:r>
          </w:p>
        </w:tc>
      </w:tr>
    </w:tbl>
    <w:p>
      <w:pPr>
        <w:spacing w:after="140" w:line="288"/>
      </w:pPr>
      <w:r>
        <w:rPr>
          <w:rFonts w:ascii="Arial" w:cs="Arial" w:eastAsia="Arial" w:hAnsi="Arial"/>
          <w:color w:val="333333"/>
          <w:sz w:val="23"/>
          <w:szCs w:val="23"/>
        </w:rPr>
        <w:t xml:space="preserve">The critical insight is that MAESTRO defines the layers but not the runtime contracts between them. ARHIA’s composition contracts (which declare identity, context, schemas, fallback paths, and evidence expectations for every inter-agent handoff) fill that gap at the Layer 3/Layer 7 boundary where most real-world failures occur.</w:t>
      </w:r>
    </w:p>
    <w:p>
      <w:r>
        <w:br w:type="page"/>
      </w:r>
    </w:p>
    <w:p>
      <w:pPr>
        <w:pStyle w:val="Heading1"/>
      </w:pPr>
      <w:r>
        <w:rPr>
          <w:rFonts w:ascii="Arial" w:cs="Arial" w:eastAsia="Arial" w:hAnsi="Arial"/>
          <w:b/>
          <w:bCs/>
          <w:sz w:val="34"/>
          <w:szCs w:val="34"/>
        </w:rPr>
        <w:t xml:space="preserve">7. Framework Crosswalk: OWASP Agentic Top 10 (ASI01–ASI10)</w:t>
      </w:r>
    </w:p>
    <w:p>
      <w:pPr>
        <w:spacing w:after="140" w:line="288"/>
      </w:pPr>
      <w:r>
        <w:rPr>
          <w:rFonts w:ascii="Arial" w:cs="Arial" w:eastAsia="Arial" w:hAnsi="Arial"/>
          <w:color w:val="333333"/>
          <w:sz w:val="23"/>
          <w:szCs w:val="23"/>
        </w:rPr>
        <w:t xml:space="preserve">The OWASP Top 10 for Agentic Applications catalogs the threat taxonomy. For each risk, ARHIA provides a specific architectural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OWASP Risk</w:t>
            </w:r>
          </w:p>
        </w:tc>
        <w:tc>
          <w:tcPr>
            <w:tcW w:type="dxa" w:w="30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Threat</w:t>
            </w:r>
          </w:p>
        </w:tc>
        <w:tc>
          <w:tcPr>
            <w:tcW w:type="dxa" w:w="47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ARHIA Mitigation</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ASI01: Agent Goal Hijack</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Attackers redirect agent objectives through manipulated inputs</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ATK per-action authorization with OPA policy evaluation. No blanket session trust. Every action independently verified against declared capability and scope.</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ASI02: Tool Misuse</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Agents misuse legitimate tools due to injection or misalignment</w:t>
            </w:r>
          </w:p>
        </w:tc>
        <w:tc>
          <w:tcPr>
            <w:tcW w:type="dxa" w:w="4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MCP dual-path interceptor: synchronous JWT validation before every tool call. Tool allowlists per capability token. Return-path classification for high-risk tools.</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ASI03: Identity &amp; Privilege Abuse</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Exploited inherited credentials or delegated permissions</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Ephemeral JWT tokens (no persistent sessions). Per-action authorization with actor-specific scope. Hot token revocation via quarantine endpoint.</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ASI04: Supply Chain Vulnerabilities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Malicious or tampered tools, models, or agent personas</w:t>
            </w:r>
          </w:p>
        </w:tc>
        <w:tc>
          <w:tcPr>
            <w:tcW w:type="dxa" w:w="4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AIBOM 7-check validation sequence. Model hash verification. Signed policy bundles. Dependency chain tracking. Quarantine on hash mismatch.</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ASI05: Unexpected Code Execution</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Agents generate or execute attacker-controlled code</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Sandboxed execution zones. Capability token scope restrictions. No-code-execution policy for sensitive zones enforced by OPA.</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ASI06: Memory &amp; Context Poisoning</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Corruption of agent memory, RAG stores, or context</w:t>
            </w:r>
          </w:p>
        </w:tc>
        <w:tc>
          <w:tcPr>
            <w:tcW w:type="dxa" w:w="4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Context declaration rules in composition contracts. Shared-context limits. AIBOM checks on knowledge sources.</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ASI07: Insecure Inter-Agent Comms</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Spoofed or manipulated communication between agents</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Composition contracts with identity envelopes. Per-handoff re-authorization by ATK. Trace continuity verification.</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ASI08: Cascading Failures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False signals cascade through automated pipelines</w:t>
            </w:r>
          </w:p>
        </w:tc>
        <w:tc>
          <w:tcPr>
            <w:tcW w:type="dxa" w:w="4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Circuit breakers in composition contracts. Fallback paths (retry/bypass/rollback/workbench). ATK autonomy degradation under drift.</w:t>
            </w:r>
          </w:p>
        </w:tc>
      </w:tr>
      <w:tr>
        <w:tc>
          <w:tcPr>
            <w:tcW w:type="dxa" w:w="16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ASI09: Human-Agent Trust Exploitation</w:t>
            </w:r>
          </w:p>
        </w:tc>
        <w:tc>
          <w:tcPr>
            <w:tcW w:type="dxa" w:w="30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 explanations mislead human operators</w:t>
            </w:r>
          </w:p>
        </w:tc>
        <w:tc>
          <w:tcPr>
            <w:tcW w:type="dxa" w:w="47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Workbench with curated evidence, not agent-generated summaries. Mandatory explanation records. Structured decision surfaces.</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ASI10: Rogue Agents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Misaligned or compromised agents diverge from behavior</w:t>
            </w:r>
          </w:p>
        </w:tc>
        <w:tc>
          <w:tcPr>
            <w:tcW w:type="dxa" w:w="4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POST /trust/quarantine-actor. Hot token revocation. Behavioral drift detection. Continuous trust-score monitoring. A0–A4 degradation.</w:t>
            </w:r>
          </w:p>
        </w:tc>
      </w:tr>
    </w:tbl>
    <w:p>
      <w:pPr>
        <w:spacing w:after="140" w:line="288"/>
      </w:pPr>
      <w:r>
        <w:rPr>
          <w:rFonts w:ascii="Arial" w:cs="Arial" w:eastAsia="Arial" w:hAnsi="Arial"/>
          <w:color w:val="333333"/>
          <w:sz w:val="23"/>
          <w:szCs w:val="23"/>
        </w:rPr>
        <w:t xml:space="preserve">The key differentiator is that ARHIA’s mitigations are not recommendations — they are deployable components with API surfaces, OPA policies, and test harnesses. An enterprise implementing ARHIA can demonstrate, in a CISO review or a regulatory audit, that each OWASP ASI risk has a specific control that is tested, monitored, and evidenced.</w:t>
      </w:r>
    </w:p>
    <w:p>
      <w:r>
        <w:br w:type="page"/>
      </w:r>
    </w:p>
    <w:p>
      <w:pPr>
        <w:pStyle w:val="Heading1"/>
      </w:pPr>
      <w:r>
        <w:rPr>
          <w:rFonts w:ascii="Arial" w:cs="Arial" w:eastAsia="Arial" w:hAnsi="Arial"/>
          <w:b/>
          <w:bCs/>
          <w:sz w:val="34"/>
          <w:szCs w:val="34"/>
        </w:rPr>
        <w:t xml:space="preserve">8. Composition Contracts: Governing the Handoff</w:t>
      </w:r>
    </w:p>
    <w:p>
      <w:pPr>
        <w:spacing w:after="140" w:line="288"/>
      </w:pPr>
      <w:r>
        <w:rPr>
          <w:rFonts w:ascii="Arial" w:cs="Arial" w:eastAsia="Arial" w:hAnsi="Arial"/>
          <w:color w:val="333333"/>
          <w:sz w:val="23"/>
          <w:szCs w:val="23"/>
        </w:rPr>
        <w:t xml:space="preserve">Most agentic failures happen not inside a single agent but at the boundary between agents. One agent passes data to another, and the receiving agent operates on assumptions the sending agent did not intend. ARHIA addresses this with typed, explicit composition contracts for every inter-agent handoff.</w:t>
      </w:r>
    </w:p>
    <w:p>
      <w:pPr>
        <w:spacing w:after="140" w:line="288"/>
      </w:pPr>
      <w:r>
        <w:rPr>
          <w:rFonts w:ascii="Arial" w:cs="Arial" w:eastAsia="Arial" w:hAnsi="Arial"/>
          <w:color w:val="333333"/>
          <w:sz w:val="23"/>
          <w:szCs w:val="23"/>
        </w:rPr>
        <w:t xml:space="preserve">Each composition contract declares six mandatory elements: (1) Identity envelope — who is handing off and who is receiving, with capability IDs and trust levels. (2) Case context — the case_id, trace_id, SLA class, classification ceiling, and expected outcome. (3) Shared context declaration — what data may be shared, what must be masked, and what the retention policy is. (4) Input/output schema — a typed contract for the produced and consumed artifacts. (5) Fallback path — what happens if the handoff fails (retry, bypass, rollback, or workbench handoff). (6) Evidence expectation — what receipts, explanation records, telemetry, and ledger pointers are required.</w:t>
      </w:r>
    </w:p>
    <w:p>
      <w:pPr>
        <w:spacing w:after="140" w:line="288"/>
      </w:pPr>
      <w:r>
        <w:rPr>
          <w:rFonts w:ascii="Arial" w:cs="Arial" w:eastAsia="Arial" w:hAnsi="Arial"/>
          <w:color w:val="333333"/>
          <w:sz w:val="23"/>
          <w:szCs w:val="23"/>
        </w:rPr>
        <w:t xml:space="preserve">No handoff proceeds without all six elements being satisfied and verified by the ATK. This is the mechanism that prevents the cascading failures described in OWASP ASI08 and the insecure inter-agent communications described in ASI07.</w:t>
      </w:r>
    </w:p>
    <w:p>
      <w:r>
        <w:br w:type="page"/>
      </w:r>
    </w:p>
    <w:p>
      <w:pPr>
        <w:pStyle w:val="Heading1"/>
      </w:pPr>
      <w:r>
        <w:rPr>
          <w:rFonts w:ascii="Arial" w:cs="Arial" w:eastAsia="Arial" w:hAnsi="Arial"/>
          <w:b/>
          <w:bCs/>
          <w:sz w:val="34"/>
          <w:szCs w:val="34"/>
        </w:rPr>
        <w:t xml:space="preserve">9. Formal Autonomy: A0–A4 with Evidence-Based Promotion</w:t>
      </w:r>
    </w:p>
    <w:p>
      <w:pPr>
        <w:spacing w:after="140" w:line="288"/>
      </w:pPr>
      <w:r>
        <w:rPr>
          <w:rFonts w:ascii="Arial" w:cs="Arial" w:eastAsia="Arial" w:hAnsi="Arial"/>
          <w:color w:val="333333"/>
          <w:sz w:val="23"/>
          <w:szCs w:val="23"/>
        </w:rPr>
        <w:t xml:space="preserve">ARHIA uses five operational autonomy levels (A0–A4), scoped by capability, domain, data class, and zone. Promotion is evidence-based and requires formal approval. Degradation is automatic when trust weakens.</w:t>
      </w:r>
    </w:p>
    <w:p>
      <w:pPr>
        <w:spacing w:after="140" w:line="288"/>
      </w:pPr>
      <w:r>
        <w:rPr>
          <w:rFonts w:ascii="Arial" w:cs="Arial" w:eastAsia="Arial" w:hAnsi="Arial"/>
          <w:b/>
          <w:bCs/>
          <w:color w:val="333333"/>
          <w:sz w:val="23"/>
          <w:szCs w:val="23"/>
        </w:rPr>
        <w:t xml:space="preserve">Promotion mechanics: </w:t>
      </w:r>
      <w:r>
        <w:rPr>
          <w:rFonts w:ascii="Arial" w:cs="Arial" w:eastAsia="Arial" w:hAnsi="Arial"/>
          <w:color w:val="333333"/>
          <w:sz w:val="23"/>
          <w:szCs w:val="23"/>
        </w:rPr>
        <w:t xml:space="preserve">Promotion from level N to N+1 requires: (a) a minimum evaluation period at level N (default: 2 weeks for A0→A1, 4 weeks for A1→A2, 8 weeks for A2→A3, 12 weeks for A3→A4), (b) evidence that promotion gates are satisfied (drift score within threshold, zero critical incidents, performance metrics met), (c) no unresolved critical policy incidents during the evaluation period, (d) formal approval from the defined authority (capability owner for A0→A2, Architecture Board for A2→A3, Executive sponsor for A3→A4).</w:t>
      </w:r>
    </w:p>
    <w:p>
      <w:pPr>
        <w:spacing w:after="140" w:line="288"/>
      </w:pPr>
      <w:r>
        <w:rPr>
          <w:rFonts w:ascii="Arial" w:cs="Arial" w:eastAsia="Arial" w:hAnsi="Arial"/>
          <w:b/>
          <w:bCs/>
          <w:color w:val="333333"/>
          <w:sz w:val="23"/>
          <w:szCs w:val="23"/>
        </w:rPr>
        <w:t xml:space="preserve">Degradation mechanics: </w:t>
      </w:r>
      <w:r>
        <w:rPr>
          <w:rFonts w:ascii="Arial" w:cs="Arial" w:eastAsia="Arial" w:hAnsi="Arial"/>
          <w:color w:val="333333"/>
          <w:sz w:val="23"/>
          <w:szCs w:val="23"/>
        </w:rPr>
        <w:t xml:space="preserve">Automatic and immediate when any trigger fires: drift score exceeds threshold, rollback rate exceeds threshold, critical policy incident detected, AIBOM trust status changes, classification ceiling changes. Degradation drops to the next lower level. If the agent is at A0, degradation triggers quarantine.</w:t>
      </w:r>
    </w:p>
    <w:p>
      <w:pPr>
        <w:spacing w:after="140" w:line="288"/>
      </w:pPr>
      <w:r>
        <w:rPr>
          <w:rFonts w:ascii="Arial" w:cs="Arial" w:eastAsia="Arial" w:hAnsi="Arial"/>
          <w:color w:val="333333"/>
          <w:sz w:val="23"/>
          <w:szCs w:val="23"/>
        </w:rPr>
        <w:t xml:space="preserve">This is intentionally stricter than the CSA ATF’s promotion model, which does not define automatic degradation. In production, an agent that worked correctly yesterday and drifts today must be degraded automatically, not manually after a review meeting.</w:t>
      </w:r>
    </w:p>
    <w:p>
      <w:r>
        <w:br w:type="page"/>
      </w:r>
    </w:p>
    <w:p>
      <w:pPr>
        <w:pStyle w:val="Heading1"/>
      </w:pPr>
      <w:r>
        <w:rPr>
          <w:rFonts w:ascii="Arial" w:cs="Arial" w:eastAsia="Arial" w:hAnsi="Arial"/>
          <w:b/>
          <w:bCs/>
          <w:sz w:val="34"/>
          <w:szCs w:val="34"/>
        </w:rPr>
        <w:t xml:space="preserve">10. Field Application: Governed Organizational Diagnostics</w:t>
      </w:r>
    </w:p>
    <w:p>
      <w:pPr>
        <w:spacing w:after="140" w:line="288"/>
      </w:pPr>
      <w:r>
        <w:rPr>
          <w:rFonts w:ascii="Arial" w:cs="Arial" w:eastAsia="Arial" w:hAnsi="Arial"/>
          <w:color w:val="333333"/>
          <w:sz w:val="23"/>
          <w:szCs w:val="23"/>
        </w:rPr>
        <w:t xml:space="preserve">ARHIA has been applied in the design of ARHIA-DX, a multi-agent diagnostic pipeline for enterprise organizational assessments. The pipeline executes nine governed phases: from business area intake through scientometric research, forensic diagnostic interviews, data science analysis, BPMN process mapping, economic quantification, AI agent design with cited ROI calculations, executive reporting, and agent deployment.</w:t>
      </w:r>
    </w:p>
    <w:p>
      <w:pPr>
        <w:pStyle w:val="Heading2"/>
      </w:pPr>
      <w:r>
        <w:rPr>
          <w:rFonts w:ascii="Arial" w:cs="Arial" w:eastAsia="Arial" w:hAnsi="Arial"/>
          <w:b/>
          <w:bCs/>
          <w:sz w:val="28"/>
          <w:szCs w:val="28"/>
        </w:rPr>
        <w:t xml:space="preserve">10.1 The Challenge</w:t>
      </w:r>
    </w:p>
    <w:p>
      <w:pPr>
        <w:spacing w:after="140" w:line="288"/>
      </w:pPr>
      <w:r>
        <w:rPr>
          <w:rFonts w:ascii="Arial" w:cs="Arial" w:eastAsia="Arial" w:hAnsi="Arial"/>
          <w:color w:val="333333"/>
          <w:sz w:val="23"/>
          <w:szCs w:val="23"/>
        </w:rPr>
        <w:t xml:space="preserve">An organizational diagnostic engagement handles sensitive client data: employee interview responses (PII), financial records (confidential), process documentation (internal), and salary benchmarks (confidential). The diagnostic agents must access external research databases, combine findings with client data, produce economic calculations, and generate board-ready reports. All of this must be traceable, auditable, and defensible.</w:t>
      </w:r>
    </w:p>
    <w:p>
      <w:pPr>
        <w:pStyle w:val="Heading2"/>
      </w:pPr>
      <w:r>
        <w:rPr>
          <w:rFonts w:ascii="Arial" w:cs="Arial" w:eastAsia="Arial" w:hAnsi="Arial"/>
          <w:b/>
          <w:bCs/>
          <w:sz w:val="28"/>
          <w:szCs w:val="28"/>
        </w:rPr>
        <w:t xml:space="preserve">10.2 How ARHIA Governs the Diagnostic</w:t>
      </w:r>
    </w:p>
    <w:p>
      <w:pPr>
        <w:spacing w:after="140" w:line="288"/>
      </w:pPr>
      <w:r>
        <w:rPr>
          <w:rFonts w:ascii="Arial" w:cs="Arial" w:eastAsia="Arial" w:hAnsi="Arial"/>
          <w:color w:val="333333"/>
          <w:sz w:val="23"/>
          <w:szCs w:val="23"/>
        </w:rPr>
        <w:t xml:space="preserve">Each of the nine phases is a governed capability with ATK authorization. Research agents querying external APIs receive tokens scoped to the query, with mandatory egress masking (no client names in external queries). Interview data is classified as PII (Class 3) and processed only in Zone 2 with local models. Economic calculations are verified by a Source Verification Agent that independently validates every citation before it enters the executive report — an anti-hallucination mechanism enforced at the infrastructure level, not the prompt level. The executive report requires workbench approval from the engagement partner before delivery. Every decision, from research query to report approval, is recorded in the immutable evidence ledger with hash-chain integrity.</w:t>
      </w:r>
    </w:p>
    <w:p>
      <w:pPr>
        <w:pStyle w:val="Heading2"/>
      </w:pPr>
      <w:r>
        <w:rPr>
          <w:rFonts w:ascii="Arial" w:cs="Arial" w:eastAsia="Arial" w:hAnsi="Arial"/>
          <w:b/>
          <w:bCs/>
          <w:sz w:val="28"/>
          <w:szCs w:val="28"/>
        </w:rPr>
        <w:t xml:space="preserve">10.3 Results</w:t>
      </w:r>
    </w:p>
    <w:p>
      <w:pPr>
        <w:spacing w:after="140" w:line="288"/>
      </w:pPr>
      <w:r>
        <w:rPr>
          <w:rFonts w:ascii="Arial" w:cs="Arial" w:eastAsia="Arial" w:hAnsi="Arial"/>
          <w:color w:val="333333"/>
          <w:sz w:val="23"/>
          <w:szCs w:val="23"/>
        </w:rPr>
        <w:t xml:space="preserve">In a simulated engagement for an organizational security firm (180 employees, innovation area diagnostic), ARHIA-DX produced: a maturity score (41/100, CMMI 3) with dimensional radar across 7 dimensions, 7 confirmed bottlenecks with normative citations (exact law articles), economic quantification of USD $614,000/year in innovation dysfunction (14.6% of revenue), 3 recommended AI agents with cited ROI calculations (combined NPV of USD $400,100 over 3 years), and a complete evidence ledger of 54 entries with zero integrity violations. All sources were independently verified: 22 of 22 citations passed the anti-hallucination check (100% verification rate).</w:t>
      </w:r>
    </w:p>
    <w:p>
      <w:r>
        <w:br w:type="page"/>
      </w:r>
    </w:p>
    <w:p>
      <w:pPr>
        <w:pStyle w:val="Heading1"/>
      </w:pPr>
      <w:r>
        <w:rPr>
          <w:rFonts w:ascii="Arial" w:cs="Arial" w:eastAsia="Arial" w:hAnsi="Arial"/>
          <w:b/>
          <w:bCs/>
          <w:sz w:val="34"/>
          <w:szCs w:val="34"/>
        </w:rPr>
        <w:t xml:space="preserve">11. Competitive Landscape</w:t>
      </w:r>
    </w:p>
    <w:p>
      <w:pPr>
        <w:spacing w:after="140" w:line="288"/>
      </w:pPr>
      <w:r>
        <w:rPr>
          <w:rFonts w:ascii="Arial" w:cs="Arial" w:eastAsia="Arial" w:hAnsi="Arial"/>
          <w:color w:val="333333"/>
          <w:sz w:val="23"/>
          <w:szCs w:val="23"/>
        </w:rPr>
        <w:t xml:space="preserve">As of March 2026, several solutions address segments of the agentic governance problem. None addresses the complete operating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Solution</w:t>
            </w:r>
          </w:p>
        </w:tc>
        <w:tc>
          <w:tcPr>
            <w:tcW w:type="dxa" w:w="25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c>
          <w:tcPr>
            <w:tcW w:type="dxa" w:w="250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It Does Not Do</w:t>
            </w:r>
          </w:p>
        </w:tc>
        <w:tc>
          <w:tcPr>
            <w:tcW w:type="dxa" w:w="2560"/>
            <w:tcBorders>
              <w:top w:val="single" w:color="BBBBBB" w:sz="1"/>
              <w:left w:val="single" w:color="BBBBBB" w:sz="1"/>
              <w:bottom w:val="single" w:color="BBBBBB" w:sz="1"/>
              <w:right w:val="single" w:color="BBBBBB"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ARHIA Relationship</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Palo Alto Prisma AIRS</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Runtime AI security: monitors and blocks risky AI interactions in real time</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No trust kernel, no per-action authorization, no composition contracts, no formal autonomy model</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ARHIA can use Prisma AIRS as a Layer 5 runtime monitor within the Observability Fabric</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Zenity</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Agent governance platform: visibility and control for AI agents and copilots</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No MCP governance, no AIBOM supply chain validation, no evidence ledger with hash chain</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ARHIA provides the architecture; Zenity-like capabilities can implement specific monitoring functions</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Lasso Security</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Agentic guardrails: input/output filtering for LLM agents</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Guardrails only, no trust decisions, no tokens, no autonomy management, no audit evidence</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Lasso-style guardrails are one component within ARHIA’s OPA policy layer</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Gravitee</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Agentic IAM: identity and access management for AI agents</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IAM only, no data classification zoning, no composition contracts, no drift monitoring</w:t>
            </w:r>
          </w:p>
        </w:tc>
        <w:tc>
          <w:tcPr>
            <w:tcW w:type="dxa" w:w="2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60"/>
            </w:pPr>
            <w:r>
              <w:rPr>
                <w:rFonts w:ascii="Arial" w:cs="Arial" w:eastAsia="Arial" w:hAnsi="Arial"/>
                <w:color w:val="333333"/>
                <w:sz w:val="19"/>
                <w:szCs w:val="19"/>
              </w:rPr>
              <w:t xml:space="preserve">Gravitee-style IAM can implement the identity envelope within ARHIA’s ATK</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ARHIA</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Complete operating architecture: trust kernel + policy-as-code + AIBOM + MCP governance + autonomy scale + composition contracts + evidence ledger + workbench</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Not a runtime product — requires implementation for each deployment</w:t>
            </w:r>
          </w:p>
        </w:tc>
        <w:tc>
          <w:tcPr>
            <w:tcW w:type="dxa" w:w="2560"/>
            <w:tcBorders>
              <w:top w:val="single" w:color="BBBBBB" w:sz="1"/>
              <w:left w:val="single" w:color="BBBBBB" w:sz="1"/>
              <w:bottom w:val="single" w:color="BBBBBB" w:sz="1"/>
              <w:right w:val="single" w:color="BBBBBB" w:sz="1"/>
            </w:tcBorders>
            <w:tcMar>
              <w:top w:type="dxa" w:w="100"/>
              <w:left w:type="dxa" w:w="140"/>
              <w:bottom w:type="dxa" w:w="100"/>
              <w:right w:type="dxa" w:w="140"/>
            </w:tcMar>
          </w:tcPr>
          <w:p>
            <w:pPr>
              <w:spacing w:after="60"/>
            </w:pPr>
            <w:r>
              <w:rPr>
                <w:rFonts w:ascii="Arial" w:cs="Arial" w:eastAsia="Arial" w:hAnsi="Arial"/>
                <w:color w:val="333333"/>
                <w:sz w:val="19"/>
                <w:szCs w:val="19"/>
              </w:rPr>
              <w:t xml:space="preserve">The architecture that integrates all of the above into a coherent system</w:t>
            </w:r>
          </w:p>
        </w:tc>
      </w:tr>
    </w:tbl>
    <w:p>
      <w:pPr>
        <w:spacing w:after="140" w:line="288"/>
      </w:pPr>
      <w:r>
        <w:rPr>
          <w:rFonts w:ascii="Arial" w:cs="Arial" w:eastAsia="Arial" w:hAnsi="Arial"/>
          <w:color w:val="333333"/>
          <w:sz w:val="23"/>
          <w:szCs w:val="23"/>
        </w:rPr>
        <w:t xml:space="preserve">The positioning is clear: existing solutions are components. ARHIA is the architecture that tells you which components you need, how they interact, what contracts they enforce, and how you prove compliance. An enterprise can adopt ARHIA and implement it with Prisma AIRS for runtime monitoring, Gravitee for IAM, and OPA for policy — all coordinated by the ATK.</w:t>
      </w:r>
    </w:p>
    <w:p>
      <w:r>
        <w:br w:type="page"/>
      </w:r>
    </w:p>
    <w:p>
      <w:pPr>
        <w:pStyle w:val="Heading1"/>
      </w:pPr>
      <w:r>
        <w:rPr>
          <w:rFonts w:ascii="Arial" w:cs="Arial" w:eastAsia="Arial" w:hAnsi="Arial"/>
          <w:b/>
          <w:bCs/>
          <w:sz w:val="34"/>
          <w:szCs w:val="34"/>
        </w:rPr>
        <w:t xml:space="preserve">12. Four Capabilities That Do Not Exist Together Elsewhere</w:t>
      </w:r>
    </w:p>
    <w:p>
      <w:pPr>
        <w:spacing w:after="140" w:line="288"/>
      </w:pPr>
      <w:r>
        <w:rPr>
          <w:rFonts w:ascii="Arial" w:cs="Arial" w:eastAsia="Arial" w:hAnsi="Arial"/>
          <w:color w:val="333333"/>
          <w:sz w:val="23"/>
          <w:szCs w:val="23"/>
        </w:rPr>
        <w:t xml:space="preserve">ARHIA combines four capabilities that, taken together, do not exist in any single competing architecture:</w:t>
      </w:r>
    </w:p>
    <w:p>
      <w:pPr>
        <w:spacing w:after="140" w:line="288"/>
      </w:pPr>
      <w:r>
        <w:rPr>
          <w:rFonts w:ascii="Arial" w:cs="Arial" w:eastAsia="Arial" w:hAnsi="Arial"/>
          <w:b/>
          <w:bCs/>
          <w:color w:val="333333"/>
          <w:sz w:val="23"/>
          <w:szCs w:val="23"/>
        </w:rPr>
        <w:t xml:space="preserve">1. Decoupled trust through micro-action authorization: </w:t>
      </w:r>
      <w:r>
        <w:rPr>
          <w:rFonts w:ascii="Arial" w:cs="Arial" w:eastAsia="Arial" w:hAnsi="Arial"/>
          <w:color w:val="333333"/>
          <w:sz w:val="23"/>
          <w:szCs w:val="23"/>
        </w:rPr>
        <w:t xml:space="preserve">Every material action is independently authorized by the ATK with full context and evidence. This is not session-level trust. It is per-action trust that adapts in real time. If an agent reads a low-risk record and then attempts a high-risk transaction, the second action is evaluated independently with the data classification, zone, and autonomy level of that specific action.</w:t>
      </w:r>
    </w:p>
    <w:p>
      <w:pPr>
        <w:spacing w:after="140" w:line="288"/>
      </w:pPr>
      <w:r>
        <w:rPr>
          <w:rFonts w:ascii="Arial" w:cs="Arial" w:eastAsia="Arial" w:hAnsi="Arial"/>
          <w:b/>
          <w:bCs/>
          <w:color w:val="333333"/>
          <w:sz w:val="23"/>
          <w:szCs w:val="23"/>
        </w:rPr>
        <w:t xml:space="preserve">2. Zoned execution governed by data classification: </w:t>
      </w:r>
      <w:r>
        <w:rPr>
          <w:rFonts w:ascii="Arial" w:cs="Arial" w:eastAsia="Arial" w:hAnsi="Arial"/>
          <w:color w:val="333333"/>
          <w:sz w:val="23"/>
          <w:szCs w:val="23"/>
        </w:rPr>
        <w:t xml:space="preserve">Data sensitivity determines where capabilities may execute and what models may be used. This is enforced by architecture, not by policy alone. High-sensitivity workloads remain on local models in trusted zones; lower-risk workloads can use external frontier models under masked egress. The MCP interceptor enforces this at the protocol level.</w:t>
      </w:r>
    </w:p>
    <w:p>
      <w:pPr>
        <w:spacing w:after="140" w:line="288"/>
      </w:pPr>
      <w:r>
        <w:rPr>
          <w:rFonts w:ascii="Arial" w:cs="Arial" w:eastAsia="Arial" w:hAnsi="Arial"/>
          <w:b/>
          <w:bCs/>
          <w:color w:val="333333"/>
          <w:sz w:val="23"/>
          <w:szCs w:val="23"/>
        </w:rPr>
        <w:t xml:space="preserve">3. A complete operating model with evidence and operational machinery: </w:t>
      </w:r>
      <w:r>
        <w:rPr>
          <w:rFonts w:ascii="Arial" w:cs="Arial" w:eastAsia="Arial" w:hAnsi="Arial"/>
          <w:color w:val="333333"/>
          <w:sz w:val="23"/>
          <w:szCs w:val="23"/>
        </w:rPr>
        <w:t xml:space="preserve">ARHIA includes not just the architecture but the operational machinery to deploy and operate it: composition contracts for every handoff, an enterprise pilot playbook with RACI and drill scripts, a go/no-go decision matrix, and an evidence package template for audit and regulatory review.</w:t>
      </w:r>
    </w:p>
    <w:p>
      <w:pPr>
        <w:spacing w:after="140" w:line="288"/>
      </w:pPr>
      <w:r>
        <w:rPr>
          <w:rFonts w:ascii="Arial" w:cs="Arial" w:eastAsia="Arial" w:hAnsi="Arial"/>
          <w:b/>
          <w:bCs/>
          <w:color w:val="333333"/>
          <w:sz w:val="23"/>
          <w:szCs w:val="23"/>
        </w:rPr>
        <w:t xml:space="preserve">4. Vendor, model, and runtime agnosticism: </w:t>
      </w:r>
      <w:r>
        <w:rPr>
          <w:rFonts w:ascii="Arial" w:cs="Arial" w:eastAsia="Arial" w:hAnsi="Arial"/>
          <w:color w:val="333333"/>
          <w:sz w:val="23"/>
          <w:szCs w:val="23"/>
        </w:rPr>
        <w:t xml:space="preserve">ARHIA works across any LLM provider, any RPA platform, any cloud environment. The trust nucleus is independent of the execution runtime. An enterprise can switch from GPT to Claude to an open-source model without changing the trust architecture.</w:t>
      </w:r>
    </w:p>
    <w:p>
      <w:r>
        <w:br w:type="page"/>
      </w:r>
    </w:p>
    <w:p>
      <w:pPr>
        <w:pStyle w:val="Heading1"/>
      </w:pPr>
      <w:r>
        <w:rPr>
          <w:rFonts w:ascii="Arial" w:cs="Arial" w:eastAsia="Arial" w:hAnsi="Arial"/>
          <w:b/>
          <w:bCs/>
          <w:sz w:val="34"/>
          <w:szCs w:val="34"/>
        </w:rPr>
        <w:t xml:space="preserve">13. Adoption Path</w:t>
      </w:r>
    </w:p>
    <w:p>
      <w:pPr>
        <w:pStyle w:val="Heading2"/>
      </w:pPr>
      <w:r>
        <w:rPr>
          <w:rFonts w:ascii="Arial" w:cs="Arial" w:eastAsia="Arial" w:hAnsi="Arial"/>
          <w:b/>
          <w:bCs/>
          <w:sz w:val="28"/>
          <w:szCs w:val="28"/>
        </w:rPr>
        <w:t xml:space="preserve">13.1 For Enterprises</w:t>
      </w:r>
    </w:p>
    <w:p>
      <w:pPr>
        <w:spacing w:after="140" w:line="288"/>
      </w:pPr>
      <w:r>
        <w:rPr>
          <w:rFonts w:ascii="Arial" w:cs="Arial" w:eastAsia="Arial" w:hAnsi="Arial"/>
          <w:b/>
          <w:bCs/>
          <w:color w:val="333333"/>
          <w:sz w:val="23"/>
          <w:szCs w:val="23"/>
        </w:rPr>
        <w:t xml:space="preserve">Step 1 — Assessment (2–4 weeks): </w:t>
      </w:r>
      <w:r>
        <w:rPr>
          <w:rFonts w:ascii="Arial" w:cs="Arial" w:eastAsia="Arial" w:hAnsi="Arial"/>
          <w:color w:val="333333"/>
          <w:sz w:val="23"/>
          <w:szCs w:val="23"/>
        </w:rPr>
        <w:t xml:space="preserve">Map your existing agentic capabilities to ARHIA’s three-plane architecture. Identify which components you have (IAM, monitoring, guardrails) and which gaps exist (trust kernel, composition contracts, evidence ledger, formal autonomy).</w:t>
      </w:r>
    </w:p>
    <w:p>
      <w:pPr>
        <w:spacing w:after="140" w:line="288"/>
      </w:pPr>
      <w:r>
        <w:rPr>
          <w:rFonts w:ascii="Arial" w:cs="Arial" w:eastAsia="Arial" w:hAnsi="Arial"/>
          <w:b/>
          <w:bCs/>
          <w:color w:val="333333"/>
          <w:sz w:val="23"/>
          <w:szCs w:val="23"/>
        </w:rPr>
        <w:t xml:space="preserve">Step 2 — Core-M0 Pilot (10 weeks): </w:t>
      </w:r>
      <w:r>
        <w:rPr>
          <w:rFonts w:ascii="Arial" w:cs="Arial" w:eastAsia="Arial" w:hAnsi="Arial"/>
          <w:color w:val="333333"/>
          <w:sz w:val="23"/>
          <w:szCs w:val="23"/>
        </w:rPr>
        <w:t xml:space="preserve">Implement the minimum deployment scope for a single governed use case: ATK service, OPA policy bundle, AIBOM registry for the models in scope, MCP interceptor for the tools in scope, evidence ledger, and workbench for human approvals. Execute the pilot per the ARHIA Enterprise Pilot Playbook with full evidence collection.</w:t>
      </w:r>
    </w:p>
    <w:p>
      <w:pPr>
        <w:spacing w:after="140" w:line="288"/>
      </w:pPr>
      <w:r>
        <w:rPr>
          <w:rFonts w:ascii="Arial" w:cs="Arial" w:eastAsia="Arial" w:hAnsi="Arial"/>
          <w:b/>
          <w:bCs/>
          <w:color w:val="333333"/>
          <w:sz w:val="23"/>
          <w:szCs w:val="23"/>
        </w:rPr>
        <w:t xml:space="preserve">Step 3 — Go/No-Go (1 week): </w:t>
      </w:r>
      <w:r>
        <w:rPr>
          <w:rFonts w:ascii="Arial" w:cs="Arial" w:eastAsia="Arial" w:hAnsi="Arial"/>
          <w:color w:val="333333"/>
          <w:sz w:val="23"/>
          <w:szCs w:val="23"/>
        </w:rPr>
        <w:t xml:space="preserve">Evaluate the pilot evidence package against the go/no-go decision matrix (weighted scoring, threshold 85/100). If go: expand to additional use cases and promote agent autonomy based on evidence.</w:t>
      </w:r>
    </w:p>
    <w:p>
      <w:pPr>
        <w:pStyle w:val="Heading2"/>
      </w:pPr>
      <w:r>
        <w:rPr>
          <w:rFonts w:ascii="Arial" w:cs="Arial" w:eastAsia="Arial" w:hAnsi="Arial"/>
          <w:b/>
          <w:bCs/>
          <w:sz w:val="28"/>
          <w:szCs w:val="28"/>
        </w:rPr>
        <w:t xml:space="preserve">13.2 For Implementation Partners</w:t>
      </w:r>
    </w:p>
    <w:p>
      <w:pPr>
        <w:spacing w:after="140" w:line="288"/>
      </w:pPr>
      <w:r>
        <w:rPr>
          <w:rFonts w:ascii="Arial" w:cs="Arial" w:eastAsia="Arial" w:hAnsi="Arial"/>
          <w:b/>
          <w:bCs/>
          <w:color w:val="333333"/>
          <w:sz w:val="23"/>
          <w:szCs w:val="23"/>
        </w:rPr>
        <w:t xml:space="preserve">The opportunity: </w:t>
      </w:r>
      <w:r>
        <w:rPr>
          <w:rFonts w:ascii="Arial" w:cs="Arial" w:eastAsia="Arial" w:hAnsi="Arial"/>
          <w:color w:val="333333"/>
          <w:sz w:val="23"/>
          <w:szCs w:val="23"/>
        </w:rPr>
        <w:t xml:space="preserve">Enterprises adopting agentic AI need implementation partners who understand governance, not just development. ARHIA provides the architecture; partners provide the implementation. The value proposition is: “We implement governed agentic systems that are auditable from day one.”</w:t>
      </w:r>
    </w:p>
    <w:p>
      <w:pPr>
        <w:spacing w:after="140" w:line="288"/>
      </w:pPr>
      <w:r>
        <w:rPr>
          <w:rFonts w:ascii="Arial" w:cs="Arial" w:eastAsia="Arial" w:hAnsi="Arial"/>
          <w:b/>
          <w:bCs/>
          <w:color w:val="333333"/>
          <w:sz w:val="23"/>
          <w:szCs w:val="23"/>
        </w:rPr>
        <w:t xml:space="preserve">How to start: </w:t>
      </w:r>
      <w:r>
        <w:rPr>
          <w:rFonts w:ascii="Arial" w:cs="Arial" w:eastAsia="Arial" w:hAnsi="Arial"/>
          <w:color w:val="333333"/>
          <w:sz w:val="23"/>
          <w:szCs w:val="23"/>
        </w:rPr>
        <w:t xml:space="preserve">Access the ARHIA open specification (published under CC BY 4.0). Review the ATK reference implementation. Execute a pilot with a client. Produce a case study. The specification, crosswalk tables, and reference code are available at the ARHIA repository.</w:t>
      </w:r>
    </w:p>
    <w:p>
      <w:pPr>
        <w:pStyle w:val="Heading2"/>
      </w:pPr>
      <w:r>
        <w:rPr>
          <w:rFonts w:ascii="Arial" w:cs="Arial" w:eastAsia="Arial" w:hAnsi="Arial"/>
          <w:b/>
          <w:bCs/>
          <w:sz w:val="28"/>
          <w:szCs w:val="28"/>
        </w:rPr>
        <w:t xml:space="preserve">13.3 For Regulators and Standards Bodies</w:t>
      </w:r>
    </w:p>
    <w:p>
      <w:pPr>
        <w:spacing w:after="140" w:line="288"/>
      </w:pPr>
      <w:r>
        <w:rPr>
          <w:rFonts w:ascii="Arial" w:cs="Arial" w:eastAsia="Arial" w:hAnsi="Arial"/>
          <w:color w:val="333333"/>
          <w:sz w:val="23"/>
          <w:szCs w:val="23"/>
        </w:rPr>
        <w:t xml:space="preserve">ARHIA is designed to be complementary to CSA ATF, MAESTRO, OWASP, and NIST frameworks. It demonstrates that the controls defined by these frameworks can be implemented as deployable, testable, auditable systems. Regulators seeking implementation evidence for AI governance requirements can reference ARHIA as an example of how framework-level controls translate to operational architecture. The crosswalk tables in this paper are designed to facilitate that mapping.</w:t>
      </w:r>
    </w:p>
    <w:p>
      <w:r>
        <w:br w:type="page"/>
      </w:r>
    </w:p>
    <w:p>
      <w:pPr>
        <w:pStyle w:val="Heading1"/>
      </w:pPr>
      <w:r>
        <w:rPr>
          <w:rFonts w:ascii="Arial" w:cs="Arial" w:eastAsia="Arial" w:hAnsi="Arial"/>
          <w:b/>
          <w:bCs/>
          <w:sz w:val="34"/>
          <w:szCs w:val="34"/>
        </w:rPr>
        <w:t xml:space="preserve">14. Accessing the ARHIA Specification</w:t>
      </w:r>
    </w:p>
    <w:p>
      <w:pPr>
        <w:spacing w:after="140" w:line="288"/>
      </w:pPr>
      <w:r>
        <w:rPr>
          <w:rFonts w:ascii="Arial" w:cs="Arial" w:eastAsia="Arial" w:hAnsi="Arial"/>
          <w:b/>
          <w:bCs/>
          <w:color w:val="333333"/>
          <w:sz w:val="23"/>
          <w:szCs w:val="23"/>
        </w:rPr>
        <w:t xml:space="preserve">Open Specification: </w:t>
      </w:r>
      <w:r>
        <w:rPr>
          <w:rFonts w:ascii="Arial" w:cs="Arial" w:eastAsia="Arial" w:hAnsi="Arial"/>
          <w:color w:val="333333"/>
          <w:sz w:val="23"/>
          <w:szCs w:val="23"/>
        </w:rPr>
        <w:t xml:space="preserve">The ARHIA framework specification (architecture, annexes, crosswalk tables) is published under Creative Commons Attribution 4.0 International (CC BY 4.0). Free to use, adapt, and redistribute with attribution.</w:t>
      </w:r>
    </w:p>
    <w:p>
      <w:pPr>
        <w:spacing w:after="140" w:line="288"/>
      </w:pPr>
      <w:r>
        <w:rPr>
          <w:rFonts w:ascii="Arial" w:cs="Arial" w:eastAsia="Arial" w:hAnsi="Arial"/>
          <w:b/>
          <w:bCs/>
          <w:color w:val="333333"/>
          <w:sz w:val="23"/>
          <w:szCs w:val="23"/>
        </w:rPr>
        <w:t xml:space="preserve">Reference Implementation: </w:t>
      </w:r>
      <w:r>
        <w:rPr>
          <w:rFonts w:ascii="Arial" w:cs="Arial" w:eastAsia="Arial" w:hAnsi="Arial"/>
          <w:color w:val="333333"/>
          <w:sz w:val="23"/>
          <w:szCs w:val="23"/>
        </w:rPr>
        <w:t xml:space="preserve">A runnable ATK reference implementation (FastAPI, OPA/Rego, JWT capability tokens, HMAC-signed ledger) is available for customer-facing demonstrations and engineering evaluation. Contact Sinergia Consulting Group for access.</w:t>
      </w:r>
    </w:p>
    <w:p>
      <w:pPr>
        <w:spacing w:after="140" w:line="288"/>
      </w:pPr>
      <w:r>
        <w:rPr>
          <w:rFonts w:ascii="Arial" w:cs="Arial" w:eastAsia="Arial" w:hAnsi="Arial"/>
          <w:b/>
          <w:bCs/>
          <w:color w:val="333333"/>
          <w:sz w:val="23"/>
          <w:szCs w:val="23"/>
        </w:rPr>
        <w:t xml:space="preserve">Implementation Services: </w:t>
      </w:r>
      <w:r>
        <w:rPr>
          <w:rFonts w:ascii="Arial" w:cs="Arial" w:eastAsia="Arial" w:hAnsi="Arial"/>
          <w:color w:val="333333"/>
          <w:sz w:val="23"/>
          <w:szCs w:val="23"/>
        </w:rPr>
        <w:t xml:space="preserve">Sinergia Consulting Group provides assessment, implementation, piloting, and training services for organizations adopting ARHIA across Latin America, the United States, and Europe.</w:t>
      </w:r>
    </w:p>
    <w:p>
      <w:pPr>
        <w:spacing w:after="140" w:line="288"/>
      </w:pPr>
      <w:r>
        <w:rPr>
          <w:rFonts w:ascii="Arial" w:cs="Arial" w:eastAsia="Arial" w:hAnsi="Arial"/>
          <w:b/>
          <w:bCs/>
          <w:color w:val="333333"/>
          <w:sz w:val="23"/>
          <w:szCs w:val="23"/>
        </w:rPr>
        <w:t xml:space="preserve">Contact: </w:t>
      </w:r>
      <w:r>
        <w:rPr>
          <w:rFonts w:ascii="Arial" w:cs="Arial" w:eastAsia="Arial" w:hAnsi="Arial"/>
          <w:color w:val="333333"/>
          <w:sz w:val="23"/>
          <w:szCs w:val="23"/>
        </w:rPr>
        <w:t xml:space="preserve">Sinergia Consulting Group | Bogotá, Colombia | sinergia.co</w:t>
      </w:r>
    </w:p>
    <w:p>
      <w:r>
        <w:br w:type="page"/>
      </w:r>
    </w:p>
    <w:p>
      <w:pPr>
        <w:pStyle w:val="Heading1"/>
      </w:pPr>
      <w:r>
        <w:rPr>
          <w:rFonts w:ascii="Arial" w:cs="Arial" w:eastAsia="Arial" w:hAnsi="Arial"/>
          <w:b/>
          <w:bCs/>
          <w:sz w:val="34"/>
          <w:szCs w:val="34"/>
        </w:rPr>
        <w:t xml:space="preserve">15. Conclusion</w:t>
      </w:r>
    </w:p>
    <w:p>
      <w:pPr>
        <w:spacing w:after="140" w:line="288"/>
      </w:pPr>
      <w:r>
        <w:rPr>
          <w:rFonts w:ascii="Arial" w:cs="Arial" w:eastAsia="Arial" w:hAnsi="Arial"/>
          <w:color w:val="333333"/>
          <w:sz w:val="23"/>
          <w:szCs w:val="23"/>
        </w:rPr>
        <w:t xml:space="preserve">The agentic enterprise is here. The governance frameworks are here. What has been missing is the layer between the two — the operating architecture that turns framework-level trust requirements into deployable, testable, auditable systems.</w:t>
      </w:r>
    </w:p>
    <w:p>
      <w:pPr>
        <w:spacing w:after="140" w:line="288"/>
      </w:pPr>
      <w:r>
        <w:rPr>
          <w:rFonts w:ascii="Arial" w:cs="Arial" w:eastAsia="Arial" w:hAnsi="Arial"/>
          <w:color w:val="333333"/>
          <w:sz w:val="23"/>
          <w:szCs w:val="23"/>
        </w:rPr>
        <w:t xml:space="preserve">ARHIA provides that layer. It is not a product to be purchased but an architecture to be implemented. It is not a replacement for CSA, OWASP, or NIST but a demonstration that their controls can be operationalized. It is not tied to a vendor, a model, or a runtime, but to a set of principles: trust is authorized per action, composition is typed and explicit, data class governs zone and egress, observability is a first-class contract, learning is governed and versioned, and humans are bounded control actors with curated evidence.</w:t>
      </w:r>
    </w:p>
    <w:p>
      <w:pPr>
        <w:spacing w:after="140" w:line="288"/>
      </w:pPr>
      <w:r>
        <w:rPr>
          <w:rFonts w:ascii="Arial" w:cs="Arial" w:eastAsia="Arial" w:hAnsi="Arial"/>
          <w:color w:val="333333"/>
          <w:sz w:val="23"/>
          <w:szCs w:val="23"/>
        </w:rPr>
        <w:t xml:space="preserve">For enterprises deploying agents in regulated environments — financial services, healthcare, government, education — the question is no longer whether governance is needed. The question is how to implement it without collapsing the productivity that agents are supposed to deliver. ARHIA answers that question with architecture, evidence, and operational discipline.</w:t>
      </w:r>
    </w:p>
    <w:p>
      <w:r>
        <w:br w:type="page"/>
      </w:r>
    </w:p>
    <w:p>
      <w:pPr>
        <w:spacing w:before="200"/>
      </w:pPr>
      <w:r>
        <w:rPr>
          <w:rFonts w:ascii="Arial" w:cs="Arial" w:eastAsia="Arial" w:hAnsi="Arial"/>
          <w:i/>
          <w:iCs/>
          <w:color w:val="555555"/>
          <w:sz w:val="18"/>
          <w:szCs w:val="18"/>
        </w:rPr>
        <w:t xml:space="preserve">© 2026 Sinergia Consulting Group. The ARHIA specification is published under CC BY 4.0.</w:t>
      </w:r>
    </w:p>
    <w:p>
      <w:r>
        <w:rPr>
          <w:rFonts w:ascii="Arial" w:cs="Arial" w:eastAsia="Arial" w:hAnsi="Arial"/>
          <w:i/>
          <w:iCs/>
          <w:color w:val="555555"/>
          <w:sz w:val="18"/>
          <w:szCs w:val="18"/>
        </w:rPr>
        <w:t xml:space="preserve">ARHIA, Agentic Trust Kernel, and ARHIA-DX are trademarks of Sinergia Consulting Group.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White Paper  |  March 2026  |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8"/>
      </w:pBdr>
    </w:pPr>
    <w:r>
      <w:rPr>
        <w:rFonts w:ascii="Arial" w:cs="Arial" w:eastAsia="Arial" w:hAnsi="Arial"/>
        <w:color w:val="555555"/>
        <w:sz w:val="15"/>
        <w:szCs w:val="15"/>
      </w:rPr>
      <w:t xml:space="preserve">ARHIA: A Deployable Operating Architecture for Governed Agentic Systems  |  Sinergia Consulting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80"/>
      <w:outlineLvl w:val="1"/>
    </w:pPr>
    <w:rPr>
      <w:rFonts w:ascii="Arial" w:cs="Arial" w:eastAsia="Arial" w:hAnsi="Arial"/>
      <w:b/>
      <w:bCs/>
      <w:color w:val="1B3A5C"/>
      <w:sz w:val="28"/>
      <w:szCs w:val="28"/>
    </w:rPr>
  </w:style>
  <w:style w:type="paragraph" w:styleId="Heading3">
    <w:name w:val="Heading 3"/>
    <w:basedOn w:val="Normal"/>
    <w:next w:val="Normal"/>
    <w:qFormat/>
    <w:pPr>
      <w:spacing w:before="220" w:after="1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2026-03-15T12:33:44.297Z</dcterms:created>
  <dcterms:modified xsi:type="dcterms:W3CDTF">2026-03-15T12:33:44.298Z</dcterms:modified>
</cp:coreProperties>
</file>

<file path=docProps/custom.xml><?xml version="1.0" encoding="utf-8"?>
<Properties xmlns="http://schemas.openxmlformats.org/officeDocument/2006/custom-properties" xmlns:vt="http://schemas.openxmlformats.org/officeDocument/2006/docPropsVTypes"/>
</file>