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5C"/>
          <w:sz w:val="52"/>
          <w:szCs w:val="52"/>
        </w:rPr>
        <w:t xml:space="preserve">ARHIA v11.1 — Annex Compendium</w:t>
      </w:r>
    </w:p>
    <w:p>
      <w:pPr>
        <w:spacing w:after="120"/>
        <w:jc w:val="center"/>
      </w:pPr>
      <w:r>
        <w:rPr>
          <w:rFonts w:ascii="Arial" w:cs="Arial" w:eastAsia="Arial" w:hAnsi="Arial"/>
          <w:color w:val="4A4A4A"/>
          <w:sz w:val="24"/>
          <w:szCs w:val="24"/>
        </w:rPr>
        <w:t xml:space="preserve">English technical annexes for trust controls, interoperability and execution readiness</w:t>
      </w:r>
    </w:p>
    <w:p>
      <w:pPr>
        <w:spacing w:after="80"/>
        <w:jc w:val="center"/>
      </w:pPr>
      <w:r>
        <w:rPr>
          <w:rFonts w:ascii="Arial" w:cs="Arial" w:eastAsia="Arial" w:hAnsi="Arial"/>
          <w:sz w:val="22"/>
          <w:szCs w:val="22"/>
        </w:rPr>
        <w:t xml:space="preserve">Version: 11.1 (Remediation Release)</w:t>
      </w:r>
    </w:p>
    <w:p>
      <w:pPr>
        <w:spacing w:after="80"/>
        <w:jc w:val="center"/>
      </w:pPr>
      <w:r>
        <w:rPr>
          <w:rFonts w:ascii="Arial" w:cs="Arial" w:eastAsia="Arial" w:hAnsi="Arial"/>
          <w:sz w:val="20"/>
          <w:szCs w:val="20"/>
        </w:rPr>
        <w:t xml:space="preserve">Audience: Architecture, CISO, SRE, audit and implementation teams</w:t>
      </w:r>
    </w:p>
    <w:p>
      <w:pPr>
        <w:spacing w:after="80"/>
        <w:jc w:val="center"/>
      </w:pPr>
      <w:r>
        <w:rPr>
          <w:rFonts w:ascii="Arial" w:cs="Arial" w:eastAsia="Arial" w:hAnsi="Arial"/>
          <w:color w:val="CC0000"/>
          <w:sz w:val="20"/>
          <w:szCs w:val="20"/>
        </w:rPr>
        <w:t xml:space="preserve">Classification: Confidential / Controlled use</w:t>
      </w:r>
    </w:p>
    <w:p>
      <w:pPr>
        <w:spacing w:after="200"/>
        <w:jc w:val="center"/>
      </w:pPr>
      <w:r>
        <w:rPr>
          <w:rFonts w:ascii="Arial" w:cs="Arial" w:eastAsia="Arial" w:hAnsi="Arial"/>
          <w:i/>
          <w:iCs/>
          <w:color w:val="666666"/>
          <w:sz w:val="18"/>
          <w:szCs w:val="18"/>
        </w:rPr>
        <w:t xml:space="preserve">Change log v11.1: Expanded Annexes K, L, M, N from paragraph summaries to multi-page profiles. Corrected OWASP ASI taxonomy to official December 2025 numbering. Added MAESTRO layer mapping. Added Singapore CSA Addendum citation. Added worked examples, edge cases and failure scenarios throughout. v11.1.1: Added Annexes H (MCP interoperability summary), I (Incident management and escalation), J (Data classification and zoned execution). Expanded Annexes Q (HA topology, replication, failover procedures, DR testing) and R (zone-based cost/risk matrix, Core-M0 sizing, evidence obligations).</w:t>
      </w:r>
    </w:p>
    <w:p>
      <w:r>
        <w:br w:type="page"/>
      </w:r>
    </w:p>
    <w:p>
      <w:pPr>
        <w:pStyle w:val="Heading1"/>
      </w:pPr>
      <w:r>
        <w:rPr>
          <w:rFonts w:ascii="Arial" w:cs="Arial" w:eastAsia="Arial" w:hAnsi="Arial"/>
        </w:rPr>
        <w:t xml:space="preserve">Annex A. Landscape crosswalk</w:t>
      </w:r>
    </w:p>
    <w:p>
      <w:pPr>
        <w:spacing w:after="120" w:line="276"/>
      </w:pPr>
      <w:r>
        <w:rPr>
          <w:rFonts w:ascii="Arial" w:cs="Arial" w:eastAsia="Arial" w:hAnsi="Arial"/>
          <w:sz w:val="22"/>
          <w:szCs w:val="22"/>
        </w:rPr>
        <w:t xml:space="preserve">This annex provides the detailed crosswalk between ARHIA and the external frameworks it operationalizes. For the summary crosswalk table, see Master Architecture Section 3.</w:t>
      </w:r>
    </w:p>
    <w:p>
      <w:pPr>
        <w:pStyle w:val="Heading2"/>
      </w:pPr>
      <w:r>
        <w:rPr>
          <w:rFonts w:ascii="Arial" w:cs="Arial" w:eastAsia="Arial" w:hAnsi="Arial"/>
        </w:rPr>
        <w:t xml:space="preserve">A.1 CSA Agentic Trust Framework alignment</w:t>
      </w:r>
    </w:p>
    <w:p>
      <w:pPr>
        <w:spacing w:after="120" w:line="276"/>
      </w:pPr>
      <w:r>
        <w:rPr>
          <w:rFonts w:ascii="Arial" w:cs="Arial" w:eastAsia="Arial" w:hAnsi="Arial"/>
          <w:sz w:val="22"/>
          <w:szCs w:val="22"/>
        </w:rPr>
        <w:t xml:space="preserve">The CSA ATF defines a five-question maturity model with five agent levels (Intern, Junior, Senior, Lead, Executive) and explicit promotion gates. ARHIA’s A0–A4 autonomy scale maps as follows: A0 maps to Intern (read-only/suggestion), A1 maps to Junior (recommend with approval), A2 maps to Senior (execute bounded), A3 maps to Lead (autonomous bounded domain), A4 maps to Executive (highest bounded autonomy). ARHIA’s promotion gates (evidence, drills, board approval) satisfy the ATF’s five promotion requirements (demonstrated accuracy, security audit, measurable impact, clean history, stakeholder approval).</w:t>
      </w:r>
    </w:p>
    <w:p>
      <w:pPr>
        <w:pStyle w:val="Heading2"/>
      </w:pPr>
      <w:r>
        <w:rPr>
          <w:rFonts w:ascii="Arial" w:cs="Arial" w:eastAsia="Arial" w:hAnsi="Arial"/>
        </w:rPr>
        <w:t xml:space="preserve">A.2 CSA MAESTRO alignment</w:t>
      </w:r>
    </w:p>
    <w:p>
      <w:pPr>
        <w:spacing w:after="120" w:line="276"/>
      </w:pPr>
      <w:r>
        <w:rPr>
          <w:rFonts w:ascii="Arial" w:cs="Arial" w:eastAsia="Arial" w:hAnsi="Arial"/>
          <w:sz w:val="22"/>
          <w:szCs w:val="22"/>
        </w:rPr>
        <w:t xml:space="preserve">MAESTRO (Multi-Agent Environment, Security, Threat, Risk and Outcome) provides a seven-layer reference architecture for agentic AI threat modeling, published by CSA in February 2025. ARHIA maps to MAESTRO layers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MAESTRO layer</w:t>
            </w:r>
          </w:p>
        </w:tc>
        <w:tc>
          <w:tcPr>
            <w:tcW w:type="dxa" w:w="2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43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ARHIA mapping</w:t>
            </w:r>
          </w:p>
        </w:tc>
      </w:tr>
      <w:tr>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Layer 1: Foundation Models</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Core LLMs providing reasoning and generation</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Trust Plane: AIBOM validation, model trust checks, zone-based model selection</w:t>
            </w:r>
          </w:p>
        </w:tc>
      </w:tr>
      <w:tr>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Layer 2: Data Operations</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Data pipelines, storage, vector embeddings</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Data classification envelope, zoned execution, egress controls</w:t>
            </w:r>
          </w:p>
        </w:tc>
      </w:tr>
      <w:tr>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Layer 3: Agent Frameworks</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Orchestration, reasoning loops, tool dispatch</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Control Plane: state orchestrator, composition contracts, case management</w:t>
            </w:r>
          </w:p>
        </w:tc>
      </w:tr>
      <w:tr>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Layer 4: Deployment Infrastructure</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Containers, cloud, network</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Zoned deployment model (on-prem, private cloud, external cloud by data class)</w:t>
            </w:r>
          </w:p>
        </w:tc>
      </w:tr>
      <w:tr>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Layer 5: Evaluation and Observability</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Monitoring, testing, behavioral baselines</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Observability Fabric: OpenTelemetry, dashboards, retention, drift detection</w:t>
            </w:r>
          </w:p>
        </w:tc>
      </w:tr>
      <w:tr>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Layer 6: Security and Compliance</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Access control, privacy, regulatory</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Trust Plane: ATK, OPA/Rego policy bundles, capability tokens, audit evidence</w:t>
            </w:r>
          </w:p>
        </w:tc>
      </w:tr>
      <w:tr>
        <w:tc>
          <w:tcPr>
            <w:tcW w:type="dxa" w:w="2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Layer 7: Agent Ecosystem</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Multi-agent interactions, marketplaces</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MCP governance, dual-path interceptor, inter-agent composition contracts, workbench</w:t>
            </w:r>
          </w:p>
        </w:tc>
      </w:tr>
    </w:tbl>
    <w:p>
      <w:r>
        <w:br w:type="page"/>
      </w:r>
    </w:p>
    <w:p>
      <w:pPr>
        <w:pStyle w:val="Heading1"/>
      </w:pPr>
      <w:r>
        <w:rPr>
          <w:rFonts w:ascii="Arial" w:cs="Arial" w:eastAsia="Arial" w:hAnsi="Arial"/>
        </w:rPr>
        <w:t xml:space="preserve">Annex B. Threat model and OWASP Agentic Top 10 crosswalk</w:t>
      </w:r>
    </w:p>
    <w:p>
      <w:pPr>
        <w:spacing w:after="120" w:line="276"/>
      </w:pPr>
      <w:r>
        <w:rPr>
          <w:rFonts w:ascii="Arial" w:cs="Arial" w:eastAsia="Arial" w:hAnsi="Arial"/>
          <w:sz w:val="22"/>
          <w:szCs w:val="22"/>
        </w:rPr>
        <w:t xml:space="preserve">This annex maps the six ARHIA threat actor categories and the official OWASP Top 10 for Agentic Applications (ASI01–ASI10, December 2025) to specific ARHIA mitigations.</w:t>
      </w:r>
    </w:p>
    <w:p>
      <w:pPr>
        <w:pStyle w:val="Heading2"/>
      </w:pPr>
      <w:r>
        <w:rPr>
          <w:rFonts w:ascii="Arial" w:cs="Arial" w:eastAsia="Arial" w:hAnsi="Arial"/>
        </w:rPr>
        <w:t xml:space="preserve">B.1 ARHIA threat actors</w:t>
      </w:r>
    </w:p>
    <w:p>
      <w:pPr>
        <w:pStyle w:val="ListParagraph"/>
        <w:numPr>
          <w:ilvl w:val="0"/>
          <w:numId w:val="2"/>
        </w:numPr>
        <w:spacing w:after="80" w:line="276"/>
      </w:pPr>
      <w:r>
        <w:rPr>
          <w:rFonts w:ascii="Arial" w:cs="Arial" w:eastAsia="Arial" w:hAnsi="Arial"/>
          <w:sz w:val="22"/>
          <w:szCs w:val="22"/>
        </w:rPr>
        <w:t xml:space="preserve">Careless insider: an authorized user who makes a mistake that triggers an unintended agent action.</w:t>
      </w:r>
    </w:p>
    <w:p>
      <w:pPr>
        <w:pStyle w:val="ListParagraph"/>
        <w:numPr>
          <w:ilvl w:val="0"/>
          <w:numId w:val="2"/>
        </w:numPr>
        <w:spacing w:after="80" w:line="276"/>
      </w:pPr>
      <w:r>
        <w:rPr>
          <w:rFonts w:ascii="Arial" w:cs="Arial" w:eastAsia="Arial" w:hAnsi="Arial"/>
          <w:sz w:val="22"/>
          <w:szCs w:val="22"/>
        </w:rPr>
        <w:t xml:space="preserve">Malicious insider: an authorized user who deliberately misuses agent capabilities or exfiltrates data.</w:t>
      </w:r>
    </w:p>
    <w:p>
      <w:pPr>
        <w:pStyle w:val="ListParagraph"/>
        <w:numPr>
          <w:ilvl w:val="0"/>
          <w:numId w:val="2"/>
        </w:numPr>
        <w:spacing w:after="80" w:line="276"/>
      </w:pPr>
      <w:r>
        <w:rPr>
          <w:rFonts w:ascii="Arial" w:cs="Arial" w:eastAsia="Arial" w:hAnsi="Arial"/>
          <w:sz w:val="22"/>
          <w:szCs w:val="22"/>
        </w:rPr>
        <w:t xml:space="preserve">External attacker: an unauthorized actor who exploits vulnerabilities in the agent stack from outside the trust perimeter.</w:t>
      </w:r>
    </w:p>
    <w:p>
      <w:pPr>
        <w:pStyle w:val="ListParagraph"/>
        <w:numPr>
          <w:ilvl w:val="0"/>
          <w:numId w:val="2"/>
        </w:numPr>
        <w:spacing w:after="80" w:line="276"/>
      </w:pPr>
      <w:r>
        <w:rPr>
          <w:rFonts w:ascii="Arial" w:cs="Arial" w:eastAsia="Arial" w:hAnsi="Arial"/>
          <w:sz w:val="22"/>
          <w:szCs w:val="22"/>
        </w:rPr>
        <w:t xml:space="preserve">Prompt injection or malicious document: an adversary who embeds malicious instructions in data the agent will process.</w:t>
      </w:r>
    </w:p>
    <w:p>
      <w:pPr>
        <w:pStyle w:val="ListParagraph"/>
        <w:numPr>
          <w:ilvl w:val="0"/>
          <w:numId w:val="2"/>
        </w:numPr>
        <w:spacing w:after="80" w:line="276"/>
      </w:pPr>
      <w:r>
        <w:rPr>
          <w:rFonts w:ascii="Arial" w:cs="Arial" w:eastAsia="Arial" w:hAnsi="Arial"/>
          <w:sz w:val="22"/>
          <w:szCs w:val="22"/>
        </w:rPr>
        <w:t xml:space="preserve">Degraded or out-of-policy capability: a legitimate agent or tool that drifts from its intended behavior due to model degradation, configuration drift or insufficient guardrails.</w:t>
      </w:r>
    </w:p>
    <w:p>
      <w:pPr>
        <w:pStyle w:val="ListParagraph"/>
        <w:numPr>
          <w:ilvl w:val="0"/>
          <w:numId w:val="2"/>
        </w:numPr>
        <w:spacing w:after="80" w:line="276"/>
      </w:pPr>
      <w:r>
        <w:rPr>
          <w:rFonts w:ascii="Arial" w:cs="Arial" w:eastAsia="Arial" w:hAnsi="Arial"/>
          <w:sz w:val="22"/>
          <w:szCs w:val="22"/>
        </w:rPr>
        <w:t xml:space="preserve">Compromised model or dependency supply chain: a malicious or tampered model, plugin, MCP server or dependency that enters the agent ecosystem through the supply chain.</w:t>
      </w:r>
    </w:p>
    <w:p>
      <w:pPr>
        <w:pStyle w:val="Heading2"/>
      </w:pPr>
      <w:r>
        <w:rPr>
          <w:rFonts w:ascii="Arial" w:cs="Arial" w:eastAsia="Arial" w:hAnsi="Arial"/>
        </w:rPr>
        <w:t xml:space="preserve">B.2 OWASP Agentic Top 10 (ASI01–ASI10) crosswalk</w:t>
      </w:r>
    </w:p>
    <w:p>
      <w:pPr>
        <w:spacing w:after="120" w:line="276"/>
      </w:pPr>
      <w:r>
        <w:rPr>
          <w:rFonts w:ascii="Arial" w:cs="Arial" w:eastAsia="Arial" w:hAnsi="Arial"/>
          <w:sz w:val="22"/>
          <w:szCs w:val="22"/>
        </w:rPr>
        <w:t xml:space="preserve">The following table uses the official OWASP taxonomy published December 10,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OWASP risk</w:t>
            </w:r>
          </w:p>
        </w:tc>
        <w:tc>
          <w:tcPr>
            <w:tcW w:type="dxa" w:w="2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45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Primary ARHIA mitigation</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ASI01: Agent Goal Hijack</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Attackers redirect agent objectives through manipulated instructions, tool outputs or external content</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ATK micro-action authorization, OPA/Rego policy bundles, workbench approval gates, no-egress zones for sensitive data, input validation at Trust Plane</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ASI02: Tool Misuse and Exploitation</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Agents misuse legitimate tools due to prompt injection, misalignment or unsafe delegation</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MCP dual-path interceptor with synchronous authorization, tool allowlists, delegated authentication, return-path classification, evidence logging</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ASI03: Identity and Privilege Abuse</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Attackers exploit inherited/cached credentials, delegated permissions or agent-to-agent trust</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IAM integration, ephemeral JWT capability tokens (no persistent sessions), hot token revocation, per-action authorization, delegated auth scoping</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ASI04: Agentic Supply Chain Vulnerabilities</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Malicious or tampered tools, descriptors, models or agent personas compromise execution</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AIBOM validation, model trust checks, signed policy bundles, dependency hash verification, MCP server identity verification</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ASI05: Unexpected Code Execution</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Agents generate or execute attacker-controlled code</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Sandboxed execution zones, code review gates at A2+, capability token scope restrictions, no-code-execution policy for sensitive zones</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ASI06: Memory and Context Poisoning</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Persistent corruption of agent memory, RAG stores or contextual knowledge</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Context declaration rules in composition contracts, shared-context limits, AIBOM checks on knowledge sources, memory integrity validation</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ASI07: Insecure Inter-Agent Communication</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Spoofed, intercepted or manipulated communication between agents</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Composition contracts with identity envelopes, per-handoff re-authorization by ATK, encrypted inter-agent channels, trace continuity verification</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ASI08: Cascading Failures</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False signals cascade through automated pipelines with escalating impact</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Circuit breakers in composition contracts, fallback paths (retry/bypass/rollback/workbench), ATK autonomy degradation under drift, blast-radius containment by zone</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ASI09: Human-Agent Trust Exploitation</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Confident agent explanations mislead human operators into approving harmful actions</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Workbench with curated evidence (not agent-generated summaries), mandatory explanation records with policy_rule_triggered, prior-case comparison, structured decision surfaces</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ASI10: Rogue Agents</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Misaligned or compromised agents diverge from intended behavior</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POST /trust/quarantine-actor, hot token revocation, zero-trust per-action architecture, behavioral drift detection, continuous trust-score monitoring, A0–A4 degradation</w:t>
            </w:r>
          </w:p>
        </w:tc>
      </w:tr>
    </w:tbl>
    <w:p>
      <w:r>
        <w:br w:type="page"/>
      </w:r>
    </w:p>
    <w:p>
      <w:pPr>
        <w:pStyle w:val="Heading1"/>
      </w:pPr>
      <w:r>
        <w:rPr>
          <w:rFonts w:ascii="Arial" w:cs="Arial" w:eastAsia="Arial" w:hAnsi="Arial"/>
        </w:rPr>
        <w:t xml:space="preserve">Annex C. Multi-agent composition contract</w:t>
      </w:r>
    </w:p>
    <w:p>
      <w:pPr>
        <w:spacing w:after="120" w:line="276"/>
      </w:pPr>
      <w:r>
        <w:rPr>
          <w:rFonts w:ascii="Arial" w:cs="Arial" w:eastAsia="Arial" w:hAnsi="Arial"/>
          <w:sz w:val="22"/>
          <w:szCs w:val="22"/>
        </w:rPr>
        <w:t xml:space="preserve">Composition contracts declare the minimum artifacts required for every inter-agent handoff. No handoff proceeds without all six contract elements being satisfied and verified by the ATK.</w:t>
      </w:r>
    </w:p>
    <w:p>
      <w:pPr>
        <w:spacing w:after="120" w:line="276"/>
      </w:pPr>
      <w:r>
        <w:rPr>
          <w:rFonts w:ascii="Arial" w:cs="Arial" w:eastAsia="Arial" w:hAnsi="Arial"/>
          <w:sz w:val="22"/>
          <w:szCs w:val="22"/>
        </w:rPr>
        <w:t xml:space="preserve">Contract elements: identity envelope (agent_id, capability_id, tenant, environment, trust level), case context (case_id, trace_id, SLA class, classification ceiling, expected outcome), shared context declaration (what may be shared, what must be masked, retention policy), input/output schema (typed contract for produced and consumed artifacts), fallback path (retry, bypass, rollback or workbench handoff), and evidence expectation (receipts, explanation record, telemetry and ledger pointer).</w:t>
      </w:r>
    </w:p>
    <w:p>
      <w:pPr>
        <w:pStyle w:val="Heading2"/>
      </w:pPr>
      <w:r>
        <w:rPr>
          <w:rFonts w:ascii="Arial" w:cs="Arial" w:eastAsia="Arial" w:hAnsi="Arial"/>
        </w:rPr>
        <w:t xml:space="preserve">C.1 Composition patterns</w:t>
      </w:r>
    </w:p>
    <w:p>
      <w:pPr>
        <w:spacing w:after="120" w:line="276"/>
      </w:pPr>
      <w:r>
        <w:rPr>
          <w:rFonts w:ascii="Arial" w:cs="Arial" w:eastAsia="Arial" w:hAnsi="Arial"/>
          <w:b/>
          <w:bCs/>
          <w:sz w:val="22"/>
          <w:szCs w:val="22"/>
        </w:rPr>
        <w:t xml:space="preserve">Sequential: </w:t>
      </w:r>
      <w:r>
        <w:rPr>
          <w:rFonts w:ascii="Arial" w:cs="Arial" w:eastAsia="Arial" w:hAnsi="Arial"/>
          <w:sz w:val="22"/>
          <w:szCs w:val="22"/>
        </w:rPr>
        <w:t xml:space="preserve">Agent A completes, passes output to Agent B. Each handoff is independently authorized. Failure in any step triggers the declared fallback path.</w:t>
      </w:r>
    </w:p>
    <w:p>
      <w:pPr>
        <w:spacing w:after="120" w:line="276"/>
      </w:pPr>
      <w:r>
        <w:rPr>
          <w:rFonts w:ascii="Arial" w:cs="Arial" w:eastAsia="Arial" w:hAnsi="Arial"/>
          <w:b/>
          <w:bCs/>
          <w:sz w:val="22"/>
          <w:szCs w:val="22"/>
        </w:rPr>
        <w:t xml:space="preserve">Conditional: </w:t>
      </w:r>
      <w:r>
        <w:rPr>
          <w:rFonts w:ascii="Arial" w:cs="Arial" w:eastAsia="Arial" w:hAnsi="Arial"/>
          <w:sz w:val="22"/>
          <w:szCs w:val="22"/>
        </w:rPr>
        <w:t xml:space="preserve">Agent A evaluates a condition and routes to Agent B or Agent C. The routing decision is itself an ATK-authorized action.</w:t>
      </w:r>
    </w:p>
    <w:p>
      <w:pPr>
        <w:spacing w:after="120" w:line="276"/>
      </w:pPr>
      <w:r>
        <w:rPr>
          <w:rFonts w:ascii="Arial" w:cs="Arial" w:eastAsia="Arial" w:hAnsi="Arial"/>
          <w:b/>
          <w:bCs/>
          <w:sz w:val="22"/>
          <w:szCs w:val="22"/>
        </w:rPr>
        <w:t xml:space="preserve">Parallel: </w:t>
      </w:r>
      <w:r>
        <w:rPr>
          <w:rFonts w:ascii="Arial" w:cs="Arial" w:eastAsia="Arial" w:hAnsi="Arial"/>
          <w:sz w:val="22"/>
          <w:szCs w:val="22"/>
        </w:rPr>
        <w:t xml:space="preserve">Agents B and C execute simultaneously. A join agent waits for both, reconciles outputs, and produces a merged result. Classification ceiling is the maximum of all parallel branches.</w:t>
      </w:r>
    </w:p>
    <w:p>
      <w:pPr>
        <w:spacing w:after="120" w:line="276"/>
      </w:pPr>
      <w:r>
        <w:rPr>
          <w:rFonts w:ascii="Arial" w:cs="Arial" w:eastAsia="Arial" w:hAnsi="Arial"/>
          <w:b/>
          <w:bCs/>
          <w:sz w:val="22"/>
          <w:szCs w:val="22"/>
        </w:rPr>
        <w:t xml:space="preserve">Delegated-with-return: </w:t>
      </w:r>
      <w:r>
        <w:rPr>
          <w:rFonts w:ascii="Arial" w:cs="Arial" w:eastAsia="Arial" w:hAnsi="Arial"/>
          <w:sz w:val="22"/>
          <w:szCs w:val="22"/>
        </w:rPr>
        <w:t xml:space="preserve">Agent A delegates a subtask to Agent B and waits for the result. Agent B operates under Agent A’s case_id but with its own capability token.</w:t>
      </w:r>
    </w:p>
    <w:p>
      <w:pPr>
        <w:spacing w:after="120" w:line="276"/>
      </w:pPr>
      <w:r>
        <w:rPr>
          <w:rFonts w:ascii="Arial" w:cs="Arial" w:eastAsia="Arial" w:hAnsi="Arial"/>
          <w:b/>
          <w:bCs/>
          <w:sz w:val="22"/>
          <w:szCs w:val="22"/>
        </w:rPr>
        <w:t xml:space="preserve">Human escalation: </w:t>
      </w:r>
      <w:r>
        <w:rPr>
          <w:rFonts w:ascii="Arial" w:cs="Arial" w:eastAsia="Arial" w:hAnsi="Arial"/>
          <w:sz w:val="22"/>
          <w:szCs w:val="22"/>
        </w:rPr>
        <w:t xml:space="preserve">Any agent can escalate to the workbench. The human decision is recorded as a governed learning intake event and the trace continues.</w:t>
      </w:r>
    </w:p>
    <w:p>
      <w:pPr>
        <w:pStyle w:val="Heading1"/>
      </w:pPr>
      <w:r>
        <w:rPr>
          <w:rFonts w:ascii="Arial" w:cs="Arial" w:eastAsia="Arial" w:hAnsi="Arial"/>
        </w:rPr>
        <w:t xml:space="preserve">Annex D. Formal autonomy scale (A0–A4)</w:t>
      </w:r>
    </w:p>
    <w:p>
      <w:pPr>
        <w:spacing w:after="120" w:line="276"/>
      </w:pPr>
      <w:r>
        <w:rPr>
          <w:rFonts w:ascii="Arial" w:cs="Arial" w:eastAsia="Arial" w:hAnsi="Arial"/>
          <w:sz w:val="22"/>
          <w:szCs w:val="22"/>
        </w:rPr>
        <w:t xml:space="preserve">See Master Architecture Section 10 for the summary table. This annex specifies the promotion and degradation mechanics.</w:t>
      </w:r>
    </w:p>
    <w:p>
      <w:pPr>
        <w:pStyle w:val="Heading2"/>
      </w:pPr>
      <w:r>
        <w:rPr>
          <w:rFonts w:ascii="Arial" w:cs="Arial" w:eastAsia="Arial" w:hAnsi="Arial"/>
        </w:rPr>
        <w:t xml:space="preserve">D.1 Promotion mechanics</w:t>
      </w:r>
    </w:p>
    <w:p>
      <w:pPr>
        <w:spacing w:after="120" w:line="276"/>
      </w:pPr>
      <w:r>
        <w:rPr>
          <w:rFonts w:ascii="Arial" w:cs="Arial" w:eastAsia="Arial" w:hAnsi="Arial"/>
          <w:sz w:val="22"/>
          <w:szCs w:val="22"/>
        </w:rPr>
        <w:t xml:space="preserve">Promotion from level N to N+1 requires: (a) a minimum evaluation period at level N (configurable per capability, default 2 weeks for A0→A1, 4 weeks for A1→A2, 8 weeks for A2→A3, 12 weeks for A3→A4); (b) evidence that promotion gates are satisfied (see Master Architecture Table 9); (c) no unresolved critical policy incidents during the evaluation period; (d) formal approval from the defined authority (capability owner for A0→A2, Architecture Board for A2→A3, Executive sponsor for A3→A4).</w:t>
      </w:r>
    </w:p>
    <w:p>
      <w:pPr>
        <w:pStyle w:val="Heading2"/>
      </w:pPr>
      <w:r>
        <w:rPr>
          <w:rFonts w:ascii="Arial" w:cs="Arial" w:eastAsia="Arial" w:hAnsi="Arial"/>
        </w:rPr>
        <w:t xml:space="preserve">D.2 Degradation mechanics</w:t>
      </w:r>
    </w:p>
    <w:p>
      <w:pPr>
        <w:spacing w:after="120" w:line="276"/>
      </w:pPr>
      <w:r>
        <w:rPr>
          <w:rFonts w:ascii="Arial" w:cs="Arial" w:eastAsia="Arial" w:hAnsi="Arial"/>
          <w:sz w:val="22"/>
          <w:szCs w:val="22"/>
        </w:rPr>
        <w:t xml:space="preserve">Degradation is automatic and immediate when any of the following triggers fires: drift score exceeds threshold, rollback rate exceeds threshold, critical policy incident detected, AIBOM trust status changes to untrusted, classification ceiling changes. Degradation always drops to the next lower level. If the agent is at A0, degradation triggers quarantine.</w:t>
      </w:r>
    </w:p>
    <w:p>
      <w:pPr>
        <w:pStyle w:val="Heading1"/>
      </w:pPr>
      <w:r>
        <w:rPr>
          <w:rFonts w:ascii="Arial" w:cs="Arial" w:eastAsia="Arial" w:hAnsi="Arial"/>
        </w:rPr>
        <w:t xml:space="preserve">Annex E. Observability Fabric</w:t>
      </w:r>
    </w:p>
    <w:p>
      <w:pPr>
        <w:spacing w:after="120" w:line="276"/>
      </w:pPr>
      <w:r>
        <w:rPr>
          <w:rFonts w:ascii="Arial" w:cs="Arial" w:eastAsia="Arial" w:hAnsi="Arial"/>
          <w:sz w:val="22"/>
          <w:szCs w:val="22"/>
        </w:rPr>
        <w:t xml:space="preserve">OpenTelemetry is mandatory for all ARHIA components. Every core component emits traces, metrics and logs. Trace continuity across Trust, Control, Execution, Workbench and MCP is required. See Master Architecture Section 11 for the specification table.</w:t>
      </w:r>
    </w:p>
    <w:p>
      <w:pPr>
        <w:pStyle w:val="Heading2"/>
      </w:pPr>
      <w:r>
        <w:rPr>
          <w:rFonts w:ascii="Arial" w:cs="Arial" w:eastAsia="Arial" w:hAnsi="Arial"/>
        </w:rPr>
        <w:t xml:space="preserve">E.1 Minimum dashboard set</w:t>
      </w:r>
    </w:p>
    <w:p>
      <w:pPr>
        <w:pStyle w:val="ListParagraph"/>
        <w:numPr>
          <w:ilvl w:val="0"/>
          <w:numId w:val="2"/>
        </w:numPr>
        <w:spacing w:after="80" w:line="276"/>
      </w:pPr>
      <w:r>
        <w:rPr>
          <w:rFonts w:ascii="Arial" w:cs="Arial" w:eastAsia="Arial" w:hAnsi="Arial"/>
          <w:sz w:val="22"/>
          <w:szCs w:val="22"/>
        </w:rPr>
        <w:t xml:space="preserve">Trust Plane: ATK decision latency (p50/p95/p99), allow/deny/degrade ratios, token issuance rate, AIBOM validation failures, quarantine events.</w:t>
      </w:r>
    </w:p>
    <w:p>
      <w:pPr>
        <w:pStyle w:val="ListParagraph"/>
        <w:numPr>
          <w:ilvl w:val="0"/>
          <w:numId w:val="2"/>
        </w:numPr>
        <w:spacing w:after="80" w:line="276"/>
      </w:pPr>
      <w:r>
        <w:rPr>
          <w:rFonts w:ascii="Arial" w:cs="Arial" w:eastAsia="Arial" w:hAnsi="Arial"/>
          <w:sz w:val="22"/>
          <w:szCs w:val="22"/>
        </w:rPr>
        <w:t xml:space="preserve">Control Plane: case throughput, case age distribution, escalation rate, exception rate, learning intake volume.</w:t>
      </w:r>
    </w:p>
    <w:p>
      <w:pPr>
        <w:pStyle w:val="ListParagraph"/>
        <w:numPr>
          <w:ilvl w:val="0"/>
          <w:numId w:val="2"/>
        </w:numPr>
        <w:spacing w:after="80" w:line="276"/>
      </w:pPr>
      <w:r>
        <w:rPr>
          <w:rFonts w:ascii="Arial" w:cs="Arial" w:eastAsia="Arial" w:hAnsi="Arial"/>
          <w:sz w:val="22"/>
          <w:szCs w:val="22"/>
        </w:rPr>
        <w:t xml:space="preserve">Execution Plane: MCP call success/failure/timeout rates, capability execution latency, zone utilization.</w:t>
      </w:r>
    </w:p>
    <w:p>
      <w:pPr>
        <w:pStyle w:val="ListParagraph"/>
        <w:numPr>
          <w:ilvl w:val="0"/>
          <w:numId w:val="2"/>
        </w:numPr>
        <w:spacing w:after="80" w:line="276"/>
      </w:pPr>
      <w:r>
        <w:rPr>
          <w:rFonts w:ascii="Arial" w:cs="Arial" w:eastAsia="Arial" w:hAnsi="Arial"/>
          <w:sz w:val="22"/>
          <w:szCs w:val="22"/>
        </w:rPr>
        <w:t xml:space="preserve">Workbench: response time (time from escalation to human decision), decision distribution (approve/reject/revise/escalate), SLA compliance rate.</w:t>
      </w:r>
    </w:p>
    <w:p>
      <w:pPr>
        <w:pStyle w:val="ListParagraph"/>
        <w:numPr>
          <w:ilvl w:val="0"/>
          <w:numId w:val="2"/>
        </w:numPr>
        <w:spacing w:after="80" w:line="276"/>
      </w:pPr>
      <w:r>
        <w:rPr>
          <w:rFonts w:ascii="Arial" w:cs="Arial" w:eastAsia="Arial" w:hAnsi="Arial"/>
          <w:sz w:val="22"/>
          <w:szCs w:val="22"/>
        </w:rPr>
        <w:t xml:space="preserve">Drift: drift score by capability, rollback frequency, autonomy level changes over time.</w:t>
      </w:r>
    </w:p>
    <w:p>
      <w:pPr>
        <w:pStyle w:val="Heading1"/>
      </w:pPr>
      <w:r>
        <w:rPr>
          <w:rFonts w:ascii="Arial" w:cs="Arial" w:eastAsia="Arial" w:hAnsi="Arial"/>
        </w:rPr>
        <w:t xml:space="preserve">Annex F. Human Workbench contract</w:t>
      </w:r>
    </w:p>
    <w:p>
      <w:pPr>
        <w:spacing w:after="120" w:line="276"/>
      </w:pPr>
      <w:r>
        <w:rPr>
          <w:rFonts w:ascii="Arial" w:cs="Arial" w:eastAsia="Arial" w:hAnsi="Arial"/>
          <w:sz w:val="22"/>
          <w:szCs w:val="22"/>
        </w:rPr>
        <w:t xml:space="preserve">The workbench is the bounded decision surface for humans. It presents curated evidence, structured actions and SLA-aware escalation. Humans never see raw payloads; they see explanation records, classification context, expected effects and prior similar cases. See Master Architecture Section 12 for the capability table.</w:t>
      </w:r>
    </w:p>
    <w:p>
      <w:pPr>
        <w:pStyle w:val="Heading2"/>
      </w:pPr>
      <w:r>
        <w:rPr>
          <w:rFonts w:ascii="Arial" w:cs="Arial" w:eastAsia="Arial" w:hAnsi="Arial"/>
        </w:rPr>
        <w:t xml:space="preserve">F.1 Workbench SLA</w:t>
      </w:r>
    </w:p>
    <w:p>
      <w:pPr>
        <w:spacing w:after="120" w:line="276"/>
      </w:pPr>
      <w:r>
        <w:rPr>
          <w:rFonts w:ascii="Arial" w:cs="Arial" w:eastAsia="Arial" w:hAnsi="Arial"/>
          <w:sz w:val="22"/>
          <w:szCs w:val="22"/>
        </w:rPr>
        <w:t xml:space="preserve">Workbench response time targets are defined per SLA class: Class 1 (critical) = 15 minutes, Class 2 (standard) = 2 hours, Class 3 (batch) = 24 hours. If the SLA is breached, the system can hold (continue waiting), reroute (escalate to a different approver), or emergency fallback (apply the defined fallback path from the composition contract).</w:t>
      </w:r>
    </w:p>
    <w:p>
      <w:pPr>
        <w:pStyle w:val="Heading1"/>
      </w:pPr>
      <w:r>
        <w:rPr>
          <w:rFonts w:ascii="Arial" w:cs="Arial" w:eastAsia="Arial" w:hAnsi="Arial"/>
        </w:rPr>
        <w:t xml:space="preserve">Annex G. Governed Learning Loop</w:t>
      </w:r>
    </w:p>
    <w:p>
      <w:pPr>
        <w:spacing w:after="120" w:line="276"/>
      </w:pPr>
      <w:r>
        <w:rPr>
          <w:rFonts w:ascii="Arial" w:cs="Arial" w:eastAsia="Arial" w:hAnsi="Arial"/>
          <w:sz w:val="22"/>
          <w:szCs w:val="22"/>
        </w:rPr>
        <w:t xml:space="preserve">The learning loop consumes corrections and incidents, proposes versioned change packages, updates the AIBOM when behavior changes materially, and routes changes through the Architecture Board. It never patches production in place.</w:t>
      </w:r>
    </w:p>
    <w:p>
      <w:pPr>
        <w:pStyle w:val="Heading2"/>
      </w:pPr>
      <w:r>
        <w:rPr>
          <w:rFonts w:ascii="Arial" w:cs="Arial" w:eastAsia="Arial" w:hAnsi="Arial"/>
        </w:rPr>
        <w:t xml:space="preserve">G.1 Change package lifecycle</w:t>
      </w:r>
    </w:p>
    <w:p>
      <w:pPr>
        <w:spacing w:after="120" w:line="276"/>
      </w:pPr>
      <w:r>
        <w:rPr>
          <w:rFonts w:ascii="Arial" w:cs="Arial" w:eastAsia="Arial" w:hAnsi="Arial"/>
          <w:b/>
          <w:bCs/>
          <w:sz w:val="22"/>
          <w:szCs w:val="22"/>
        </w:rPr>
        <w:t xml:space="preserve">Intake: </w:t>
      </w:r>
      <w:r>
        <w:rPr>
          <w:rFonts w:ascii="Arial" w:cs="Arial" w:eastAsia="Arial" w:hAnsi="Arial"/>
          <w:sz w:val="22"/>
          <w:szCs w:val="22"/>
        </w:rPr>
        <w:t xml:space="preserve">Human corrections from the workbench, incidents from the exception manager, and regression findings from the testing harness are captured as learning intake events with trace_id, source, classification and proposed change.</w:t>
      </w:r>
    </w:p>
    <w:p>
      <w:pPr>
        <w:spacing w:after="120" w:line="276"/>
      </w:pPr>
      <w:r>
        <w:rPr>
          <w:rFonts w:ascii="Arial" w:cs="Arial" w:eastAsia="Arial" w:hAnsi="Arial"/>
          <w:b/>
          <w:bCs/>
          <w:sz w:val="22"/>
          <w:szCs w:val="22"/>
        </w:rPr>
        <w:t xml:space="preserve">Triage: </w:t>
      </w:r>
      <w:r>
        <w:rPr>
          <w:rFonts w:ascii="Arial" w:cs="Arial" w:eastAsia="Arial" w:hAnsi="Arial"/>
          <w:sz w:val="22"/>
          <w:szCs w:val="22"/>
        </w:rPr>
        <w:t xml:space="preserve">Change proposals are classified by impact (model behavior change, policy change, configuration change) and routed to the appropriate review authority.</w:t>
      </w:r>
    </w:p>
    <w:p>
      <w:pPr>
        <w:spacing w:after="120" w:line="276"/>
      </w:pPr>
      <w:r>
        <w:rPr>
          <w:rFonts w:ascii="Arial" w:cs="Arial" w:eastAsia="Arial" w:hAnsi="Arial"/>
          <w:b/>
          <w:bCs/>
          <w:sz w:val="22"/>
          <w:szCs w:val="22"/>
        </w:rPr>
        <w:t xml:space="preserve">Review: </w:t>
      </w:r>
      <w:r>
        <w:rPr>
          <w:rFonts w:ascii="Arial" w:cs="Arial" w:eastAsia="Arial" w:hAnsi="Arial"/>
          <w:sz w:val="22"/>
          <w:szCs w:val="22"/>
        </w:rPr>
        <w:t xml:space="preserve">The Architecture Board reviews model behavior changes and policy changes. Configuration changes are reviewed by the capability owner.</w:t>
      </w:r>
    </w:p>
    <w:p>
      <w:pPr>
        <w:spacing w:after="120" w:line="276"/>
      </w:pPr>
      <w:r>
        <w:rPr>
          <w:rFonts w:ascii="Arial" w:cs="Arial" w:eastAsia="Arial" w:hAnsi="Arial"/>
          <w:b/>
          <w:bCs/>
          <w:sz w:val="22"/>
          <w:szCs w:val="22"/>
        </w:rPr>
        <w:t xml:space="preserve">Staging: </w:t>
      </w:r>
      <w:r>
        <w:rPr>
          <w:rFonts w:ascii="Arial" w:cs="Arial" w:eastAsia="Arial" w:hAnsi="Arial"/>
          <w:sz w:val="22"/>
          <w:szCs w:val="22"/>
        </w:rPr>
        <w:t xml:space="preserve">Approved changes are deployed to a staging environment and tested against the regression test suite.</w:t>
      </w:r>
    </w:p>
    <w:p>
      <w:pPr>
        <w:spacing w:after="120" w:line="276"/>
      </w:pPr>
      <w:r>
        <w:rPr>
          <w:rFonts w:ascii="Arial" w:cs="Arial" w:eastAsia="Arial" w:hAnsi="Arial"/>
          <w:b/>
          <w:bCs/>
          <w:sz w:val="22"/>
          <w:szCs w:val="22"/>
        </w:rPr>
        <w:t xml:space="preserve">Promotion: </w:t>
      </w:r>
      <w:r>
        <w:rPr>
          <w:rFonts w:ascii="Arial" w:cs="Arial" w:eastAsia="Arial" w:hAnsi="Arial"/>
          <w:sz w:val="22"/>
          <w:szCs w:val="22"/>
        </w:rPr>
        <w:t xml:space="preserve">Changes that pass regression testing are promoted to production in a signed release window. The AIBOM is updated if model behavior changes materially.</w:t>
      </w:r>
    </w:p>
    <w:p>
      <w:r>
        <w:br w:type="page"/>
      </w:r>
    </w:p>
    <w:p>
      <w:pPr>
        <w:pStyle w:val="Heading1"/>
      </w:pPr>
      <w:r>
        <w:rPr>
          <w:rFonts w:ascii="Arial" w:cs="Arial" w:eastAsia="Arial" w:hAnsi="Arial"/>
        </w:rPr>
        <w:t xml:space="preserve">Annex H. MCP interoperability profile (summary)</w:t>
      </w:r>
    </w:p>
    <w:p>
      <w:pPr>
        <w:spacing w:after="120" w:line="276"/>
      </w:pPr>
      <w:r>
        <w:rPr>
          <w:rFonts w:ascii="Arial" w:cs="Arial" w:eastAsia="Arial" w:hAnsi="Arial"/>
          <w:sz w:val="22"/>
          <w:szCs w:val="22"/>
        </w:rPr>
        <w:t xml:space="preserve">ARHIA adopts MCP as the preferred interoperability protocol for tool use. This annex provides the summary profile; for the full dual-path runtime specification including timing budgets, failure modes, and sequence diagrams, see Annex N.</w:t>
      </w:r>
    </w:p>
    <w:p>
      <w:pPr>
        <w:pStyle w:val="Heading2"/>
      </w:pPr>
      <w:r>
        <w:rPr>
          <w:rFonts w:ascii="Arial" w:cs="Arial" w:eastAsia="Arial" w:hAnsi="Arial"/>
        </w:rPr>
        <w:t xml:space="preserve">H.1 MCP governance principles</w:t>
      </w:r>
    </w:p>
    <w:p>
      <w:pPr>
        <w:spacing w:after="120" w:line="276"/>
      </w:pPr>
      <w:r>
        <w:rPr>
          <w:rFonts w:ascii="Arial" w:cs="Arial" w:eastAsia="Arial" w:hAnsi="Arial"/>
          <w:sz w:val="22"/>
          <w:szCs w:val="22"/>
        </w:rPr>
        <w:t xml:space="preserve">Every MCP tool call is governed by a capability token issued by the ATK. No MCP call proceeds without prior authorization. The interceptor validates the JWT token (signature, expiration, audience, scope) and enforces a 200ms timing budget for the synchronous authorization path. Return-path classification is mandatory for high-risk capabilities (financial data, PII, credentials). Evidence from every MCP call is recorded asynchronously to the immutable ledger via the event bus.</w:t>
      </w:r>
    </w:p>
    <w:p>
      <w:pPr>
        <w:pStyle w:val="Heading2"/>
      </w:pPr>
      <w:r>
        <w:rPr>
          <w:rFonts w:ascii="Arial" w:cs="Arial" w:eastAsia="Arial" w:hAnsi="Arial"/>
        </w:rPr>
        <w:t xml:space="preserve">H.2 MCP server identity and trust</w:t>
      </w:r>
    </w:p>
    <w:p>
      <w:pPr>
        <w:spacing w:after="120" w:line="276"/>
      </w:pPr>
      <w:r>
        <w:rPr>
          <w:rFonts w:ascii="Arial" w:cs="Arial" w:eastAsia="Arial" w:hAnsi="Arial"/>
          <w:sz w:val="22"/>
          <w:szCs w:val="22"/>
        </w:rPr>
        <w:t xml:space="preserve">MCP servers are registered in the trust plane with identity, zone assignment, and tool manifests. The JWT audience claim (aud) must match the registered MCP server identity. Unregistered MCP servers are blocked by default. Tool manifests declare input/output schemas and classification ceilings for return-path validation.</w:t>
      </w:r>
    </w:p>
    <w:p>
      <w:r>
        <w:br w:type="page"/>
      </w:r>
    </w:p>
    <w:p>
      <w:pPr>
        <w:pStyle w:val="Heading1"/>
      </w:pPr>
      <w:r>
        <w:rPr>
          <w:rFonts w:ascii="Arial" w:cs="Arial" w:eastAsia="Arial" w:hAnsi="Arial"/>
        </w:rPr>
        <w:t xml:space="preserve">Annex I. Incident management and escalation profile</w:t>
      </w:r>
    </w:p>
    <w:p>
      <w:pPr>
        <w:spacing w:after="120" w:line="276"/>
      </w:pPr>
      <w:r>
        <w:rPr>
          <w:rFonts w:ascii="Arial" w:cs="Arial" w:eastAsia="Arial" w:hAnsi="Arial"/>
          <w:sz w:val="22"/>
          <w:szCs w:val="22"/>
        </w:rPr>
        <w:t xml:space="preserve">This annex defines the incident management lifecycle for ARHIA-governed systems, from detection through resolution and post-incident review.</w:t>
      </w:r>
    </w:p>
    <w:p>
      <w:pPr>
        <w:pStyle w:val="Heading2"/>
      </w:pPr>
      <w:r>
        <w:rPr>
          <w:rFonts w:ascii="Arial" w:cs="Arial" w:eastAsia="Arial" w:hAnsi="Arial"/>
        </w:rPr>
        <w:t xml:space="preserve">I.1 Incident severity classification</w:t>
      </w:r>
    </w:p>
    <w:p>
      <w:pPr>
        <w:spacing w:after="120" w:line="276"/>
      </w:pPr>
      <w:r>
        <w:rPr>
          <w:rFonts w:ascii="Arial" w:cs="Arial" w:eastAsia="Arial" w:hAnsi="Arial"/>
          <w:sz w:val="22"/>
          <w:szCs w:val="22"/>
        </w:rPr>
        <w:t xml:space="preserve">Critical: AIBOM supply-chain compromise, quarantine event, data exfiltration detected, or ledger integrity failure. Response: immediate quarantine of affected actors, hot token revocation, incident commander assigned within 15 minutes, CISO notified. High: repeated policy denials from a single actor, drift score sustained above threshold, MCP interceptor timeout spike, or workbench SLA breach. Response: autonomy degradation, workbench triage within 1 hour. Medium: AIBOM approaching staleness for multiple models, elevated exception rate, single policy incident without data impact. Response: scheduled review within 24 hours, governed learning intake. Low: telemetry degradation, non-critical dashboard alert, configuration drift. Response: next business day review, ops ticket.</w:t>
      </w:r>
    </w:p>
    <w:p>
      <w:pPr>
        <w:pStyle w:val="Heading2"/>
      </w:pPr>
      <w:r>
        <w:rPr>
          <w:rFonts w:ascii="Arial" w:cs="Arial" w:eastAsia="Arial" w:hAnsi="Arial"/>
        </w:rPr>
        <w:t xml:space="preserve">I.2 Escalation matrix</w:t>
      </w:r>
    </w:p>
    <w:p>
      <w:pPr>
        <w:spacing w:after="120" w:line="276"/>
      </w:pPr>
      <w:r>
        <w:rPr>
          <w:rFonts w:ascii="Arial" w:cs="Arial" w:eastAsia="Arial" w:hAnsi="Arial"/>
          <w:sz w:val="22"/>
          <w:szCs w:val="22"/>
        </w:rPr>
        <w:t xml:space="preserve">Level 1 (SRE/operations): automated alert triage, initial containment, workbench operator. Level 2 (ARHIA architect + capability owner): policy review, root cause analysis, change package proposal. Level 3 (CISO + Architecture Board): critical incidents, quarantine review, post-incident governance decisions. Level 4 (executive sponsor): incidents with regulatory, reputational, or material financial impact. All escalations are recorded in the immutable ledger with trace_id continuity.</w:t>
      </w:r>
    </w:p>
    <w:p>
      <w:pPr>
        <w:pStyle w:val="Heading2"/>
      </w:pPr>
      <w:r>
        <w:rPr>
          <w:rFonts w:ascii="Arial" w:cs="Arial" w:eastAsia="Arial" w:hAnsi="Arial"/>
        </w:rPr>
        <w:t xml:space="preserve">I.3 Post-incident review</w:t>
      </w:r>
    </w:p>
    <w:p>
      <w:pPr>
        <w:spacing w:after="120" w:line="276"/>
      </w:pPr>
      <w:r>
        <w:rPr>
          <w:rFonts w:ascii="Arial" w:cs="Arial" w:eastAsia="Arial" w:hAnsi="Arial"/>
          <w:sz w:val="22"/>
          <w:szCs w:val="22"/>
        </w:rPr>
        <w:t xml:space="preserve">Every critical and high incident triggers a post-incident review within 5 business days. The review produces: root cause analysis, timeline reconstruction from the immutable ledger, policy and control gaps identified, remediation actions with owners and deadlines, and governed learning intake entries. Review findings feed the Governed Learning Loop (Annex G) and may trigger policy bundle updates, AIBOM re-validation, or autonomy level adjustments.</w:t>
      </w:r>
    </w:p>
    <w:p>
      <w:r>
        <w:br w:type="page"/>
      </w:r>
    </w:p>
    <w:p>
      <w:pPr>
        <w:pStyle w:val="Heading1"/>
      </w:pPr>
      <w:r>
        <w:rPr>
          <w:rFonts w:ascii="Arial" w:cs="Arial" w:eastAsia="Arial" w:hAnsi="Arial"/>
        </w:rPr>
        <w:t xml:space="preserve">Annex J. Data classification and zoned execution profile</w:t>
      </w:r>
    </w:p>
    <w:p>
      <w:pPr>
        <w:spacing w:after="120" w:line="276"/>
      </w:pPr>
      <w:r>
        <w:rPr>
          <w:rFonts w:ascii="Arial" w:cs="Arial" w:eastAsia="Arial" w:hAnsi="Arial"/>
          <w:sz w:val="22"/>
          <w:szCs w:val="22"/>
        </w:rPr>
        <w:t xml:space="preserve">This annex specifies the data classification scheme and zone execution rules referenced throughout the architecture. Data sensitivity determines where capabilities may execute, what model types may be used, and whether egress is permitted.</w:t>
      </w:r>
    </w:p>
    <w:p>
      <w:pPr>
        <w:pStyle w:val="Heading2"/>
      </w:pPr>
      <w:r>
        <w:rPr>
          <w:rFonts w:ascii="Arial" w:cs="Arial" w:eastAsia="Arial" w:hAnsi="Arial"/>
        </w:rPr>
        <w:t xml:space="preserve">J.1 Classification levels</w:t>
      </w:r>
    </w:p>
    <w:p>
      <w:pPr>
        <w:spacing w:after="120" w:line="276"/>
      </w:pPr>
      <w:r>
        <w:rPr>
          <w:rFonts w:ascii="Arial" w:cs="Arial" w:eastAsia="Arial" w:hAnsi="Arial"/>
          <w:sz w:val="22"/>
          <w:szCs w:val="22"/>
        </w:rPr>
        <w:t xml:space="preserve">Level 1 (Public): non-sensitive, publishable data. Any zone, any model. Level 2 (Internal): internal business data, no PII. Zones 1–3, local or external models with masked egress. Level 3 (Confidential): PII, financial records, HR data. Zones 1–2 only, local models preferred, external models require masking and workbench approval at A2+. Level 4 (Restricted): regulated data (health, legal privilege, trade secrets). Zone 1 only, local models only, no external egress, mandatory human approval. Level 5 (Critical): national security, critical infrastructure. Zone 1 only, air-gapped, dedicated hardware, A0–A1 only.</w:t>
      </w:r>
    </w:p>
    <w:p>
      <w:pPr>
        <w:pStyle w:val="Heading2"/>
      </w:pPr>
      <w:r>
        <w:rPr>
          <w:rFonts w:ascii="Arial" w:cs="Arial" w:eastAsia="Arial" w:hAnsi="Arial"/>
        </w:rPr>
        <w:t xml:space="preserve">J.2 Zone definitions</w:t>
      </w:r>
    </w:p>
    <w:p>
      <w:pPr>
        <w:spacing w:after="120" w:line="276"/>
      </w:pPr>
      <w:r>
        <w:rPr>
          <w:rFonts w:ascii="Arial" w:cs="Arial" w:eastAsia="Arial" w:hAnsi="Arial"/>
          <w:sz w:val="22"/>
          <w:szCs w:val="22"/>
        </w:rPr>
        <w:t xml:space="preserve">Zone 1 (Trusted on-premises): enterprise data center, air-gapped or private network. All classification levels permitted. Local SLM/LLM inference only. Zone 2 (Private cloud): regulated VPC with encryption at rest and in transit. Classification 1–3 permitted. Local or private-hosted models. Masked egress for classification 3. Zone 3 (External cloud): public cloud with tenant isolation. Classification 1–2 only. External frontier models permitted for classification 1–2. No PII egress. Zone 4 (Edge/partner): partner-hosted environments. Classification 1 only. Read-only agent capabilities.</w:t>
      </w:r>
    </w:p>
    <w:p>
      <w:pPr>
        <w:pStyle w:val="Heading2"/>
      </w:pPr>
      <w:r>
        <w:rPr>
          <w:rFonts w:ascii="Arial" w:cs="Arial" w:eastAsia="Arial" w:hAnsi="Arial"/>
        </w:rPr>
        <w:t xml:space="preserve">J.3 Egress rules</w:t>
      </w:r>
    </w:p>
    <w:p>
      <w:pPr>
        <w:spacing w:after="120" w:line="276"/>
      </w:pPr>
      <w:r>
        <w:rPr>
          <w:rFonts w:ascii="Arial" w:cs="Arial" w:eastAsia="Arial" w:hAnsi="Arial"/>
          <w:sz w:val="22"/>
          <w:szCs w:val="22"/>
        </w:rPr>
        <w:t xml:space="preserve">Egress from higher to lower trust zones requires: data masking or anonymization for PII, classification downgrade verification by the MCP interceptor return-path classifier, explicit egress authorization in the capability token scope, and evidence recording in the immutable ledger. No-egress zones (classification 4–5) block all outbound data transfer to external zones. The MCP interceptor enforces egress rules at the protocol level, not just at the policy level.</w:t>
      </w:r>
    </w:p>
    <w:p>
      <w:r>
        <w:br w:type="page"/>
      </w:r>
    </w:p>
    <w:p>
      <w:pPr>
        <w:pStyle w:val="Heading1"/>
      </w:pPr>
      <w:r>
        <w:rPr>
          <w:rFonts w:ascii="Arial" w:cs="Arial" w:eastAsia="Arial" w:hAnsi="Arial"/>
        </w:rPr>
        <w:t xml:space="preserve">Annex K. AIBOM profile and model supply-chain assurance</w:t>
      </w:r>
    </w:p>
    <w:p>
      <w:pPr>
        <w:spacing w:after="120" w:line="276"/>
      </w:pPr>
      <w:r>
        <w:rPr>
          <w:rFonts w:ascii="Arial" w:cs="Arial" w:eastAsia="Arial" w:hAnsi="Arial"/>
          <w:sz w:val="22"/>
          <w:szCs w:val="22"/>
        </w:rPr>
        <w:t xml:space="preserve">The AI Bill of Materials (AIBOM) is the trust artifact that the ATK validates before allowing a model to participate in high-risk execution. This annex specifies the minimum AIBOM schema, the validation logic, and worked examples.</w:t>
      </w:r>
    </w:p>
    <w:p>
      <w:pPr>
        <w:pStyle w:val="Heading2"/>
      </w:pPr>
      <w:r>
        <w:rPr>
          <w:rFonts w:ascii="Arial" w:cs="Arial" w:eastAsia="Arial" w:hAnsi="Arial"/>
        </w:rPr>
        <w:t xml:space="preserve">K.1 Minimum AIBOM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200"/>
        <w:gridCol w:w="2960"/>
      </w:tblGrid>
      <w:tr>
        <w:tc>
          <w:tcPr>
            <w:tcW w:type="dxa" w:w="2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3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29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Example</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model_id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string</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Unique identifier for the model version</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gpt-4o-2025-03-01</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publisher</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string</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Organization that published the model</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OpenAI</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provenance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string</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Origin and training data lineage</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Trained on proprietary dataset v3.2</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license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string</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License under which the model is used</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commercial-api</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hash</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string</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SHA-256 hash of model weights or API version fingerprint</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sha256:a1b2c3d4...</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signature_status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enum</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verified | unverified | expired | revoked</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verified</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runtime_version</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string</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Runtime/SDK version used to execute the model</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openai-sdk-1.12.0</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dependency_chain</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array</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List of critical dependencies with versions</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[{"name":"tiktoken","version":"0.7.0"}]</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zone_allowance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array</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Zones where this model is permitted to execute</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["1","2"]</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approval_status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enum</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approved | conditional | pending | rejected</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approved</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last_validated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ISO 8601</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Timestamp of most recent validation</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2026-03-15T00:00:00Z</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risk_classification</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integer</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Data classification ceiling for this model (1–5)</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2</w:t>
            </w:r>
          </w:p>
        </w:tc>
      </w:tr>
    </w:tbl>
    <w:p>
      <w:pPr>
        <w:pStyle w:val="Heading2"/>
      </w:pPr>
      <w:r>
        <w:rPr>
          <w:rFonts w:ascii="Arial" w:cs="Arial" w:eastAsia="Arial" w:hAnsi="Arial"/>
        </w:rPr>
        <w:t xml:space="preserve">K.2 ATK AIBOM validation logic</w:t>
      </w:r>
    </w:p>
    <w:p>
      <w:pPr>
        <w:spacing w:after="120" w:line="276"/>
      </w:pPr>
      <w:r>
        <w:rPr>
          <w:rFonts w:ascii="Arial" w:cs="Arial" w:eastAsia="Arial" w:hAnsi="Arial"/>
          <w:sz w:val="22"/>
          <w:szCs w:val="22"/>
        </w:rPr>
        <w:t xml:space="preserve">Before any high-risk execution (classification &gt;= 3 or autonomy &gt;= A2), the ATK performs the following checks in order: (1) Retrieve the AIBOM for the model_id specified in the policy/supply chain envelope. (2) Verify signature_status is “verified.” If expired or revoked, deny. (3) Verify hash matches the expected hash for the model version. If mismatch, quarantine the actor and log a supply-chain incident. (4) Verify zone_allowance includes the requested execution zone. If not, deny. (5) Verify approval_status is “approved” or “conditional.” If pending or rejected, deny. (6) Verify risk_classification is &gt;= the data classification ceiling in the request. If insufficient, deny. (7) Verify last_validated is within the configured staleness threshold (default: 30 days). If stale, allow_with_restrictions (reduced TTL, mandatory re-validation before next action).</w:t>
      </w:r>
    </w:p>
    <w:p>
      <w:pPr>
        <w:pStyle w:val="Heading2"/>
      </w:pPr>
      <w:r>
        <w:rPr>
          <w:rFonts w:ascii="Arial" w:cs="Arial" w:eastAsia="Arial" w:hAnsi="Arial"/>
        </w:rPr>
        <w:t xml:space="preserve">K.3 Worked example: AIBOM rejection</w:t>
      </w:r>
    </w:p>
    <w:p>
      <w:pPr>
        <w:spacing w:after="120" w:line="276"/>
      </w:pPr>
      <w:r>
        <w:rPr>
          <w:rFonts w:ascii="Arial" w:cs="Arial" w:eastAsia="Arial" w:hAnsi="Arial"/>
          <w:sz w:val="22"/>
          <w:szCs w:val="22"/>
        </w:rPr>
        <w:t xml:space="preserve">Scenario: A payroll agent requests execution of a salary calculation using model “local-slm-v2.” The AIBOM for local-slm-v2 shows zone_allowance: ["1"] but the payroll capability requires zone 2 execution because it processes PII. The ATK evaluates: zone_allowance check fails (zone 2 not in ["1"]). Decision: deny. Reason code: ZONE_NOT_ALLOWED. Explanation record: “Model local-slm-v2 is not approved for zone 2 execution. Zone 2 is required because the payroll-salary-calc capability processes PII (classification 3).” The deny decision is recorded in the immutable ledger with trace_id, actor_id, capability_id, reason code and explanation record.</w:t>
      </w:r>
    </w:p>
    <w:p>
      <w:pPr>
        <w:pStyle w:val="Heading2"/>
      </w:pPr>
      <w:r>
        <w:rPr>
          <w:rFonts w:ascii="Arial" w:cs="Arial" w:eastAsia="Arial" w:hAnsi="Arial"/>
        </w:rPr>
        <w:t xml:space="preserve">K.4 Worked example: AIBOM hash mismatch (supply-chain compromise)</w:t>
      </w:r>
    </w:p>
    <w:p>
      <w:pPr>
        <w:spacing w:after="120" w:line="276"/>
      </w:pPr>
      <w:r>
        <w:rPr>
          <w:rFonts w:ascii="Arial" w:cs="Arial" w:eastAsia="Arial" w:hAnsi="Arial"/>
          <w:sz w:val="22"/>
          <w:szCs w:val="22"/>
        </w:rPr>
        <w:t xml:space="preserve">Scenario: An agent requests execution using model “frontier-llm-v5.” The AIBOM shows hash: sha256:abc123 but the runtime reports hash: sha256:def456. The ATK evaluates: hash mismatch detected. Decision: quarantine_actor. Action: immediate token revocation for all tokens issued to this actor in the current session. Incident record created with severity: critical. Explanation record: “Model hash mismatch detected for frontier-llm-v5. Expected sha256:abc123, received sha256:def456. Possible supply-chain compromise. Actor quarantined pending investigation.”</w:t>
      </w:r>
    </w:p>
    <w:p>
      <w:r>
        <w:br w:type="page"/>
      </w:r>
    </w:p>
    <w:p>
      <w:pPr>
        <w:pStyle w:val="Heading1"/>
      </w:pPr>
      <w:r>
        <w:rPr>
          <w:rFonts w:ascii="Arial" w:cs="Arial" w:eastAsia="Arial" w:hAnsi="Arial"/>
        </w:rPr>
        <w:t xml:space="preserve">Annex L. Explanation record / XAI profile</w:t>
      </w:r>
    </w:p>
    <w:p>
      <w:pPr>
        <w:spacing w:after="120" w:line="276"/>
      </w:pPr>
      <w:r>
        <w:rPr>
          <w:rFonts w:ascii="Arial" w:cs="Arial" w:eastAsia="Arial" w:hAnsi="Arial"/>
          <w:sz w:val="22"/>
          <w:szCs w:val="22"/>
        </w:rPr>
        <w:t xml:space="preserve">Each material decision by the ATK produces an explanation record that is both machine-readable and human-readable. This annex specifies the schema, storage requirements and worked examples.</w:t>
      </w:r>
    </w:p>
    <w:p>
      <w:pPr>
        <w:pStyle w:val="Heading2"/>
      </w:pPr>
      <w:r>
        <w:rPr>
          <w:rFonts w:ascii="Arial" w:cs="Arial" w:eastAsia="Arial" w:hAnsi="Arial"/>
        </w:rPr>
        <w:t xml:space="preserve">L.1 Explanation record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3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explanation_id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UUID</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Unique identifier for this explanation record</w:t>
            </w:r>
          </w:p>
        </w:tc>
      </w:tr>
      <w:tr>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trace_id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string</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Trace ID linking this record to the full execution trace</w:t>
            </w:r>
          </w:p>
        </w:tc>
      </w:tr>
      <w:tr>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decision</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enum</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allow | allow_with_restrictions | require_human_approval | deny | degrade_autonomy | quarantine_actor</w:t>
            </w:r>
          </w:p>
        </w:tc>
      </w:tr>
      <w:tr>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reason_code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string</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Machine-readable reason code (e.g., ZONE_NOT_ALLOWED, AIBOM_HASH_MISMATCH, POLICY_DENY_HIGH_CLASSIFICATION)</w:t>
            </w:r>
          </w:p>
        </w:tc>
      </w:tr>
      <w:tr>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policy_rule_triggered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string</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OPA/Rego rule path that produced the decision (e.g., arhia.authz.allow)</w:t>
            </w:r>
          </w:p>
        </w:tc>
      </w:tr>
      <w:tr>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effective_autonomy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string</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Autonomy level applied after any degradation (e.g., A2 → A1)</w:t>
            </w:r>
          </w:p>
        </w:tc>
      </w:tr>
      <w:tr>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classification_ceiling</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integer</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Data classification ceiling for this action</w:t>
            </w:r>
          </w:p>
        </w:tc>
      </w:tr>
      <w:tr>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zone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string</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Execution zone assigned</w:t>
            </w:r>
          </w:p>
        </w:tc>
      </w:tr>
      <w:tr>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trust_signals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object</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Drift score, AIBOM status, trust score, prior incident count</w:t>
            </w:r>
          </w:p>
        </w:tc>
      </w:tr>
      <w:tr>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human_readable_rationale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string</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Natural language explanation suitable for workbench display</w:t>
            </w:r>
          </w:p>
        </w:tc>
      </w:tr>
      <w:tr>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timestamp</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ISO 8601</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When the decision was made</w:t>
            </w:r>
          </w:p>
        </w:tc>
      </w:tr>
    </w:tbl>
    <w:p>
      <w:pPr>
        <w:pStyle w:val="Heading2"/>
      </w:pPr>
      <w:r>
        <w:rPr>
          <w:rFonts w:ascii="Arial" w:cs="Arial" w:eastAsia="Arial" w:hAnsi="Arial"/>
        </w:rPr>
        <w:t xml:space="preserve">L.2 Worked example: explanation record for allow_with_restrictions</w:t>
      </w:r>
    </w:p>
    <w:p>
      <w:pPr>
        <w:spacing w:after="120" w:line="276"/>
      </w:pPr>
      <w:r>
        <w:rPr>
          <w:rFonts w:ascii="Arial" w:cs="Arial" w:eastAsia="Arial" w:hAnsi="Arial"/>
          <w:sz w:val="22"/>
          <w:szCs w:val="22"/>
        </w:rPr>
        <w:t xml:space="preserve">Scenario: A customer-onboarding agent at A2 requests to send a welcome email (classification 1, zone 2). The AIBOM for the email model is valid but last_validated is 25 days old (threshold: 30 days). The ATK allows with restrictions. Explanation record: decision: allow_with_restrictions. reason_code: AIBOM_APPROACHING_STALENESS. policy_rule_triggered: arhia.authz.staleness_check. effective_autonomy: A2 (unchanged). classification_ceiling: 1. zone: 2. trust_signals: {drift_score: 0.02, aibom_status: verified, aibom_age_days: 25, trust_score: 0.91}. human_readable_rationale: “Action allowed with reduced TTL (60s instead of 120s) because the AIBOM for email-composer-v3 is approaching its staleness threshold (25/30 days). Re-validation recommended before next session.”</w:t>
      </w:r>
    </w:p>
    <w:p>
      <w:r>
        <w:br w:type="page"/>
      </w:r>
    </w:p>
    <w:p>
      <w:pPr>
        <w:pStyle w:val="Heading1"/>
      </w:pPr>
      <w:r>
        <w:rPr>
          <w:rFonts w:ascii="Arial" w:cs="Arial" w:eastAsia="Arial" w:hAnsi="Arial"/>
        </w:rPr>
        <w:t xml:space="preserve">Annex M. OPA/Rego policy bundle profile and test harness</w:t>
      </w:r>
    </w:p>
    <w:p>
      <w:pPr>
        <w:spacing w:after="120" w:line="276"/>
      </w:pPr>
      <w:r>
        <w:rPr>
          <w:rFonts w:ascii="Arial" w:cs="Arial" w:eastAsia="Arial" w:hAnsi="Arial"/>
          <w:sz w:val="22"/>
          <w:szCs w:val="22"/>
        </w:rPr>
        <w:t xml:space="preserve">OPA/Rego is the mandatory Policy-as-Code standard. The ATK submits a canonical JSON input; bundles are versioned, tested and promoted through signed release windows.</w:t>
      </w:r>
    </w:p>
    <w:p>
      <w:pPr>
        <w:pStyle w:val="Heading2"/>
      </w:pPr>
      <w:r>
        <w:rPr>
          <w:rFonts w:ascii="Arial" w:cs="Arial" w:eastAsia="Arial" w:hAnsi="Arial"/>
        </w:rPr>
        <w:t xml:space="preserve">M.1 Canonical ATK input schema</w:t>
      </w:r>
    </w:p>
    <w:p>
      <w:pPr>
        <w:spacing w:after="120" w:line="276"/>
      </w:pPr>
      <w:r>
        <w:rPr>
          <w:rFonts w:ascii="Arial" w:cs="Arial" w:eastAsia="Arial" w:hAnsi="Arial"/>
          <w:sz w:val="22"/>
          <w:szCs w:val="22"/>
        </w:rPr>
        <w:t xml:space="preserve">The ATK submits the following JSON structure to the OPA decision endpoint for every evaluation:</w:t>
      </w:r>
    </w:p>
    <w:p>
      <w:pPr>
        <w:spacing w:after="120" w:line="276"/>
      </w:pPr>
      <w:r>
        <w:rPr>
          <w:rFonts w:ascii="Arial" w:cs="Arial" w:eastAsia="Arial" w:hAnsi="Arial"/>
          <w:sz w:val="22"/>
          <w:szCs w:val="22"/>
        </w:rPr>
        <w:t xml:space="preserve">{ "actor_id": "agent-payroll-01", "capability_id": "payroll-batch-create", "tenant": "acme-corp", "environment": "production", "classification": 3, "max_class_allowed": 3, "zone": 2, "zone_allowed": true, "autonomy_level": 2, "max_autonomy_allowed": 2, "aibom_trusted": true, "aibom_hash_valid": true, "drift_score": 0.03, "drift_threshold": 0.10, "trace_id": "trace-2026-03-15-001", "policy_bundle_version": "v2.1.0" }</w:t>
      </w:r>
    </w:p>
    <w:p>
      <w:pPr>
        <w:pStyle w:val="Heading2"/>
      </w:pPr>
      <w:r>
        <w:rPr>
          <w:rFonts w:ascii="Arial" w:cs="Arial" w:eastAsia="Arial" w:hAnsi="Arial"/>
        </w:rPr>
        <w:t xml:space="preserve">M.2 Policy bundle structure</w:t>
      </w:r>
    </w:p>
    <w:p>
      <w:pPr>
        <w:spacing w:after="120" w:line="276"/>
      </w:pPr>
      <w:r>
        <w:rPr>
          <w:rFonts w:ascii="Arial" w:cs="Arial" w:eastAsia="Arial" w:hAnsi="Arial"/>
          <w:sz w:val="22"/>
          <w:szCs w:val="22"/>
        </w:rPr>
        <w:t xml:space="preserve">Each policy bundle is a directory containing: (a) authz.rego — the main authorization policy; (b) zone.rego — zone-specific rules; (c) autonomy.rego — autonomy level governance; (d) aibom.rego — AIBOM validation rules; (e) data.json — static data (zone definitions, classification mappings, capability registrations); (f) test/ directory with OPA test files. Bundles are signed with SHA-256 and version-tagged. Promotion follows: develop → test → staging → production, with mandatory test pass at each gate.</w:t>
      </w:r>
    </w:p>
    <w:p>
      <w:pPr>
        <w:pStyle w:val="Heading2"/>
      </w:pPr>
      <w:r>
        <w:rPr>
          <w:rFonts w:ascii="Arial" w:cs="Arial" w:eastAsia="Arial" w:hAnsi="Arial"/>
        </w:rPr>
        <w:t xml:space="preserve">M.3 Sample policy: authz.rego (expanded)</w:t>
      </w:r>
    </w:p>
    <w:p>
      <w:pPr>
        <w:spacing w:after="120" w:line="276"/>
      </w:pPr>
      <w:r>
        <w:rPr>
          <w:rFonts w:ascii="Arial" w:cs="Arial" w:eastAsia="Arial" w:hAnsi="Arial"/>
          <w:sz w:val="22"/>
          <w:szCs w:val="22"/>
        </w:rPr>
        <w:t xml:space="preserve">package arhia.authz
default allow = false
default decision = "deny"
allow if {
  input.zone_allowed == true
  input.classification &lt;= input.max_class_allowed
  input.autonomy_level &lt;= input.max_autonomy_allowed
  input.aibom_trusted == true
  input.aibom_hash_valid == true
  input.drift_score &lt;= input.drift_threshold
}
decision = "allow" if { allow }
decision = "degrade_autonomy" if { not allow; input.drift_score &gt; input.drift_threshold; input.aibom_trusted == true }
decision = "deny" if { not allow; input.aibom_trusted == false }</w:t>
      </w:r>
    </w:p>
    <w:p>
      <w:pPr>
        <w:pStyle w:val="Heading2"/>
      </w:pPr>
      <w:r>
        <w:rPr>
          <w:rFonts w:ascii="Arial" w:cs="Arial" w:eastAsia="Arial" w:hAnsi="Arial"/>
        </w:rPr>
        <w:t xml:space="preserve">M.4 Test harness</w:t>
      </w:r>
    </w:p>
    <w:p>
      <w:pPr>
        <w:spacing w:after="120" w:line="276"/>
      </w:pPr>
      <w:r>
        <w:rPr>
          <w:rFonts w:ascii="Arial" w:cs="Arial" w:eastAsia="Arial" w:hAnsi="Arial"/>
          <w:sz w:val="22"/>
          <w:szCs w:val="22"/>
        </w:rPr>
        <w:t xml:space="preserve">OPA test files follow the pattern test_&lt;rule&gt;_&lt;scenario&gt;.rego. Minimum test cases required before bundle promotion: (1) test_allow_happy_path — all conditions met, expect allow. (2) test_deny_zone_not_allowed — zone_allowed false, expect deny. (3) test_deny_classification_exceeded — classification &gt; max, expect deny. (4) test_deny_aibom_untrusted — aibom_trusted false, expect deny. (5) test_degrade_drift_exceeded — drift above threshold with trusted AIBOM, expect degrade_autonomy. (6) test_deny_hash_invalid — aibom_hash_valid false, expect deny.</w:t>
      </w:r>
    </w:p>
    <w:p>
      <w:r>
        <w:br w:type="page"/>
      </w:r>
    </w:p>
    <w:p>
      <w:pPr>
        <w:pStyle w:val="Heading1"/>
      </w:pPr>
      <w:r>
        <w:rPr>
          <w:rFonts w:ascii="Arial" w:cs="Arial" w:eastAsia="Arial" w:hAnsi="Arial"/>
        </w:rPr>
        <w:t xml:space="preserve">Annex N. MCP dual-path runtime profile</w:t>
      </w:r>
    </w:p>
    <w:p>
      <w:pPr>
        <w:spacing w:after="120" w:line="276"/>
      </w:pPr>
      <w:r>
        <w:rPr>
          <w:rFonts w:ascii="Arial" w:cs="Arial" w:eastAsia="Arial" w:hAnsi="Arial"/>
          <w:sz w:val="22"/>
          <w:szCs w:val="22"/>
        </w:rPr>
        <w:t xml:space="preserve">ARHIA adopts MCP as the preferred interoperability protocol for tool use. The interceptor operates in dual path: synchronous for authorization and high-risk return-path checks, asynchronous for extended analytics and evidence. This annex specifies the dual-path mechanics, timing budget and failure modes.</w:t>
      </w:r>
    </w:p>
    <w:p>
      <w:pPr>
        <w:pStyle w:val="Heading2"/>
      </w:pPr>
      <w:r>
        <w:rPr>
          <w:rFonts w:ascii="Arial" w:cs="Arial" w:eastAsia="Arial" w:hAnsi="Arial"/>
        </w:rPr>
        <w:t xml:space="preserve">N.1 Synchronous path (authorization and high-risk return)</w:t>
      </w:r>
    </w:p>
    <w:p>
      <w:pPr>
        <w:spacing w:after="120" w:line="276"/>
      </w:pPr>
      <w:r>
        <w:rPr>
          <w:rFonts w:ascii="Arial" w:cs="Arial" w:eastAsia="Arial" w:hAnsi="Arial"/>
          <w:sz w:val="22"/>
          <w:szCs w:val="22"/>
        </w:rPr>
        <w:t xml:space="preserve">The synchronous path is invoked for every MCP tool call. The sequence is: (1) Agent issues MCP call with capability token. (2) MCP interceptor validates the capability token (signature, expiration, audience, scope). (3) If token is valid, interceptor forwards the call to the target MCP server. (4) Target MCP server returns the result. (5) If the capability is flagged as high-risk-return (e.g., financial data, PII, credentials), the interceptor classifies the return payload before forwarding to the agent. (6) If the return classification exceeds the agent’s classification ceiling, the return is masked or blocked and the event is logged.</w:t>
      </w:r>
    </w:p>
    <w:p>
      <w:pPr>
        <w:pStyle w:val="Heading2"/>
      </w:pPr>
      <w:r>
        <w:rPr>
          <w:rFonts w:ascii="Arial" w:cs="Arial" w:eastAsia="Arial" w:hAnsi="Arial"/>
        </w:rPr>
        <w:t xml:space="preserve">N.2 Asynchronous path (analytics and evidence)</w:t>
      </w:r>
    </w:p>
    <w:p>
      <w:pPr>
        <w:spacing w:after="120" w:line="276"/>
      </w:pPr>
      <w:r>
        <w:rPr>
          <w:rFonts w:ascii="Arial" w:cs="Arial" w:eastAsia="Arial" w:hAnsi="Arial"/>
          <w:sz w:val="22"/>
          <w:szCs w:val="22"/>
        </w:rPr>
        <w:t xml:space="preserve">The asynchronous path is invoked after the synchronous path completes. It does not block the agent. The sequence is: (1) The interceptor emits an evidence event to the event bus containing: trace_id, tool name, input hash, output classification, latency, outcome (success/failure/timeout). (2) The evidence enrichment service consumes the event and correlates it with the ATK decision record and the ledger entry. (3) The enriched evidence is written to the immutable ledger.</w:t>
      </w:r>
    </w:p>
    <w:p>
      <w:pPr>
        <w:pStyle w:val="Heading2"/>
      </w:pPr>
      <w:r>
        <w:rPr>
          <w:rFonts w:ascii="Arial" w:cs="Arial" w:eastAsia="Arial" w:hAnsi="Arial"/>
        </w:rPr>
        <w:t xml:space="preserve">N.3 Timing budget</w:t>
      </w:r>
    </w:p>
    <w:p>
      <w:pPr>
        <w:spacing w:after="120" w:line="276"/>
      </w:pPr>
      <w:r>
        <w:rPr>
          <w:rFonts w:ascii="Arial" w:cs="Arial" w:eastAsia="Arial" w:hAnsi="Arial"/>
          <w:sz w:val="22"/>
          <w:szCs w:val="22"/>
        </w:rPr>
        <w:t xml:space="preserve">The synchronous path has a total budget of 200ms. Token validation: 10ms. Network round-trip to MCP server: 150ms. Return-path classification (if applicable): 40ms. If the budget is exceeded, the interceptor logs a timeout event and applies the configured timeout policy: for critical capabilities, deny and route to workbench; for non-critical capabilities, allow with reduced TTL on next action.</w:t>
      </w:r>
    </w:p>
    <w:p>
      <w:pPr>
        <w:pStyle w:val="Heading2"/>
      </w:pPr>
      <w:r>
        <w:rPr>
          <w:rFonts w:ascii="Arial" w:cs="Arial" w:eastAsia="Arial" w:hAnsi="Arial"/>
        </w:rPr>
        <w:t xml:space="preserve">N.4 Failure modes</w:t>
      </w:r>
    </w:p>
    <w:p>
      <w:pPr>
        <w:spacing w:after="120" w:line="276"/>
      </w:pPr>
      <w:r>
        <w:rPr>
          <w:rFonts w:ascii="Arial" w:cs="Arial" w:eastAsia="Arial" w:hAnsi="Arial"/>
          <w:b/>
          <w:bCs/>
          <w:sz w:val="22"/>
          <w:szCs w:val="22"/>
        </w:rPr>
        <w:t xml:space="preserve">MCP server unreachable: </w:t>
      </w:r>
      <w:r>
        <w:rPr>
          <w:rFonts w:ascii="Arial" w:cs="Arial" w:eastAsia="Arial" w:hAnsi="Arial"/>
          <w:sz w:val="22"/>
          <w:szCs w:val="22"/>
        </w:rPr>
        <w:t xml:space="preserve">Interceptor returns a structured error to the agent. The composition contract’s fallback path is activated (retry, bypass, rollback or workbench handoff). Event logged.</w:t>
      </w:r>
    </w:p>
    <w:p>
      <w:pPr>
        <w:spacing w:after="120" w:line="276"/>
      </w:pPr>
      <w:r>
        <w:rPr>
          <w:rFonts w:ascii="Arial" w:cs="Arial" w:eastAsia="Arial" w:hAnsi="Arial"/>
          <w:b/>
          <w:bCs/>
          <w:sz w:val="22"/>
          <w:szCs w:val="22"/>
        </w:rPr>
        <w:t xml:space="preserve">Token expired mid-call: </w:t>
      </w:r>
      <w:r>
        <w:rPr>
          <w:rFonts w:ascii="Arial" w:cs="Arial" w:eastAsia="Arial" w:hAnsi="Arial"/>
          <w:sz w:val="22"/>
          <w:szCs w:val="22"/>
        </w:rPr>
        <w:t xml:space="preserve">Interceptor rejects the call. Agent must re-request authorization from the ATK. If the capability is idempotent, the agent can retry with a new token.</w:t>
      </w:r>
    </w:p>
    <w:p>
      <w:pPr>
        <w:spacing w:after="120" w:line="276"/>
      </w:pPr>
      <w:r>
        <w:rPr>
          <w:rFonts w:ascii="Arial" w:cs="Arial" w:eastAsia="Arial" w:hAnsi="Arial"/>
          <w:b/>
          <w:bCs/>
          <w:sz w:val="22"/>
          <w:szCs w:val="22"/>
        </w:rPr>
        <w:t xml:space="preserve">Return-path classification failure: </w:t>
      </w:r>
      <w:r>
        <w:rPr>
          <w:rFonts w:ascii="Arial" w:cs="Arial" w:eastAsia="Arial" w:hAnsi="Arial"/>
          <w:sz w:val="22"/>
          <w:szCs w:val="22"/>
        </w:rPr>
        <w:t xml:space="preserve">If the classification service is unavailable, the interceptor blocks the return for high-risk capabilities and logs a degraded-path event. For low-risk capabilities, the return is forwarded with a warning.</w:t>
      </w:r>
    </w:p>
    <w:p>
      <w:r>
        <w:br w:type="page"/>
      </w:r>
    </w:p>
    <w:p>
      <w:pPr>
        <w:pStyle w:val="Heading1"/>
      </w:pPr>
      <w:r>
        <w:rPr>
          <w:rFonts w:ascii="Arial" w:cs="Arial" w:eastAsia="Arial" w:hAnsi="Arial"/>
        </w:rPr>
        <w:t xml:space="preserve">Annex O. ATK reference implementation contract</w:t>
      </w:r>
    </w:p>
    <w:p>
      <w:pPr>
        <w:spacing w:after="120" w:line="276"/>
      </w:pPr>
      <w:r>
        <w:rPr>
          <w:rFonts w:ascii="Arial" w:cs="Arial" w:eastAsia="Arial" w:hAnsi="Arial"/>
          <w:sz w:val="22"/>
          <w:szCs w:val="22"/>
        </w:rPr>
        <w:t xml:space="preserve">This annex specifies the API surface of the ATK as implemented in the reference FastAPI service. See the ATK Reference Implementation Pack v2.0 for the runnable code.</w:t>
      </w:r>
    </w:p>
    <w:p>
      <w:pPr>
        <w:pStyle w:val="Heading2"/>
      </w:pPr>
      <w:r>
        <w:rPr>
          <w:rFonts w:ascii="Arial" w:cs="Arial" w:eastAsia="Arial" w:hAnsi="Arial"/>
        </w:rPr>
        <w:t xml:space="preserve">O.1 Reference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3200"/>
        <w:gridCol w:w="2560"/>
      </w:tblGrid>
      <w:tr>
        <w:tc>
          <w:tcPr>
            <w:tcW w:type="dxa" w:w="2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25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Returns</w:t>
            </w:r>
          </w:p>
        </w:tc>
      </w:tr>
      <w:tr>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POST /trust/evaluate-action</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POST</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Evaluate a micro-action against policy, AIBOM and trust state</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Decision (allow/deny/degrade/etc.), explanation record, capability token if approved</w:t>
            </w:r>
          </w:p>
        </w:tc>
      </w:tr>
      <w:tr>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POST /trust/revoke-token</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POST</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Revoke an active capability token</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Confirmation with revocation timestamp</w:t>
            </w:r>
          </w:p>
        </w:tc>
      </w:tr>
      <w:tr>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POST /trust/quarantine-actor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POST</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Quarantine an actor: revoke all tokens, block new requests</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Quarantine record with incident_id</w:t>
            </w:r>
          </w:p>
        </w:tc>
      </w:tr>
      <w:tr>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POST /trust/degrade-autonomy</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POST</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Reduce an actor’s effective autonomy level</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New effective level, explanation record</w:t>
            </w:r>
          </w:p>
        </w:tc>
      </w:tr>
      <w:tr>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GET /trust/decision/{trace_id}</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GET</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Retrieve the decision record for a trace_id</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Decision record with explanation and ledger pointer</w:t>
            </w:r>
          </w:p>
        </w:tc>
      </w:tr>
      <w:tr>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GET /health</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GET</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Health check for the ATK service</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Status, OPA connectivity, AIBOM cache age</w:t>
            </w:r>
          </w:p>
        </w:tc>
      </w:tr>
    </w:tbl>
    <w:p>
      <w:pPr>
        <w:pStyle w:val="Heading1"/>
      </w:pPr>
      <w:r>
        <w:rPr>
          <w:rFonts w:ascii="Arial" w:cs="Arial" w:eastAsia="Arial" w:hAnsi="Arial"/>
        </w:rPr>
        <w:t xml:space="preserve">Annex P. First enterprise pilot playbook</w:t>
      </w:r>
    </w:p>
    <w:p>
      <w:pPr>
        <w:spacing w:after="120" w:line="276"/>
      </w:pPr>
      <w:r>
        <w:rPr>
          <w:rFonts w:ascii="Arial" w:cs="Arial" w:eastAsia="Arial" w:hAnsi="Arial"/>
          <w:sz w:val="22"/>
          <w:szCs w:val="22"/>
        </w:rPr>
        <w:t xml:space="preserve">See the separate Enterprise Pilot Playbook v2.0 document for the fully operationalized playbook with RACI, week-by-week timeline, drill scripts, go/no-go decision matrix and evidence templates.</w:t>
      </w:r>
    </w:p>
    <w:p>
      <w:pPr>
        <w:pStyle w:val="Heading1"/>
      </w:pPr>
      <w:r>
        <w:rPr>
          <w:rFonts w:ascii="Arial" w:cs="Arial" w:eastAsia="Arial" w:hAnsi="Arial"/>
        </w:rPr>
        <w:t xml:space="preserve">Annex Q. High availability, disaster recovery, RPO / RTO profile</w:t>
      </w:r>
    </w:p>
    <w:p>
      <w:pPr>
        <w:spacing w:after="120" w:line="276"/>
      </w:pPr>
      <w:r>
        <w:rPr>
          <w:rFonts w:ascii="Arial" w:cs="Arial" w:eastAsia="Arial" w:hAnsi="Arial"/>
          <w:sz w:val="22"/>
          <w:szCs w:val="22"/>
        </w:rPr>
        <w:t xml:space="preserve">RTO/RPO expectations by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23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RTO target</w:t>
            </w:r>
          </w:p>
        </w:tc>
        <w:tc>
          <w:tcPr>
            <w:tcW w:type="dxa" w:w="23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RPO target</w:t>
            </w:r>
          </w:p>
        </w:tc>
        <w:tc>
          <w:tcPr>
            <w:tcW w:type="dxa" w:w="23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Rationale</w:t>
            </w:r>
          </w:p>
        </w:tc>
      </w:tr>
      <w:tr>
        <w:tc>
          <w:tcPr>
            <w:tcW w:type="dxa" w:w="234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Trust Plane (ATK)</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&lt; 5 minutes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0 (no data loss)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Trust decisions must resume immediately; deny-by-default during outage</w:t>
            </w:r>
          </w:p>
        </w:tc>
      </w:tr>
      <w:tr>
        <w:tc>
          <w:tcPr>
            <w:tcW w:type="dxa" w:w="234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Control Plane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&lt; 15 minutes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&lt; 1 minute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Case state is persistent; replay from queue after recovery</w:t>
            </w:r>
          </w:p>
        </w:tc>
      </w:tr>
      <w:tr>
        <w:tc>
          <w:tcPr>
            <w:tcW w:type="dxa" w:w="234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Immutable Ledger</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&lt; 30 minutes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0 (no data loss)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Ledger is append-only and replicated; no entries may be lost</w:t>
            </w:r>
          </w:p>
        </w:tc>
      </w:tr>
      <w:tr>
        <w:tc>
          <w:tcPr>
            <w:tcW w:type="dxa" w:w="234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spacing w:after="40"/>
            </w:pPr>
            <w:r>
              <w:rPr>
                <w:rFonts w:ascii="Arial" w:cs="Arial" w:eastAsia="Arial" w:hAnsi="Arial"/>
                <w:sz w:val="20"/>
                <w:szCs w:val="20"/>
              </w:rPr>
              <w:t xml:space="preserve">Observability stack</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&lt; 1 hour</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&lt; 5 minutes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Telemetry can be buffered and replayed; some delay is acceptable</w:t>
            </w:r>
          </w:p>
        </w:tc>
      </w:tr>
    </w:tbl>
    <w:p>
      <w:pPr>
        <w:pStyle w:val="Heading2"/>
      </w:pPr>
      <w:r>
        <w:rPr>
          <w:rFonts w:ascii="Arial" w:cs="Arial" w:eastAsia="Arial" w:hAnsi="Arial"/>
        </w:rPr>
        <w:t xml:space="preserve">Q.1 Deployment topology for high availability</w:t>
      </w:r>
    </w:p>
    <w:p>
      <w:pPr>
        <w:spacing w:after="120" w:line="276"/>
      </w:pPr>
      <w:r>
        <w:rPr>
          <w:rFonts w:ascii="Arial" w:cs="Arial" w:eastAsia="Arial" w:hAnsi="Arial"/>
          <w:sz w:val="22"/>
          <w:szCs w:val="22"/>
        </w:rPr>
        <w:t xml:space="preserve">The Trust Plane (ATK, OPA, token issuer) is deployed as a stateless service cluster behind a load balancer with a minimum of three replicas across two availability zones. Policy bundles and AIBOM cache are pre-warmed on startup from a shared configuration store (Consul, etcd, or cloud-native equivalent). The active_tokens and quarantined_actors state is backed by a replicated in-memory store (Redis Sentinel or equivalent) to survive individual pod failures without losing runtime state. The OPA sidecar is co-located with each ATK instance and serves the signed policy bundle from local cache, with a 40ms SLA for evaluation.</w:t>
      </w:r>
    </w:p>
    <w:p>
      <w:pPr>
        <w:pStyle w:val="Heading2"/>
      </w:pPr>
      <w:r>
        <w:rPr>
          <w:rFonts w:ascii="Arial" w:cs="Arial" w:eastAsia="Arial" w:hAnsi="Arial"/>
        </w:rPr>
        <w:t xml:space="preserve">Q.2 Ledger replication strategy</w:t>
      </w:r>
    </w:p>
    <w:p>
      <w:pPr>
        <w:spacing w:after="120" w:line="276"/>
      </w:pPr>
      <w:r>
        <w:rPr>
          <w:rFonts w:ascii="Arial" w:cs="Arial" w:eastAsia="Arial" w:hAnsi="Arial"/>
          <w:sz w:val="22"/>
          <w:szCs w:val="22"/>
        </w:rPr>
        <w:t xml:space="preserve">The immutable ledger is the most critical persistence layer (RPO = 0). In production, it is backed by a synchronously replicated database (PostgreSQL with synchronous replication, or a cloud-managed equivalent such as Aurora or Cloud SQL with multi-AZ). Each ledger entry includes a hash-chain reference and an HMAC signature computed with a key stored in a hardware security module (HSM) or cloud KMS. The HMAC key is separate from the JWT signing key. Backup strategy: continuous WAL archiving to a separate storage account with point-in-time recovery capability. Retention: per legal and regulatory schedule, minimum 7 years for financial services.</w:t>
      </w:r>
    </w:p>
    <w:p>
      <w:pPr>
        <w:pStyle w:val="Heading2"/>
      </w:pPr>
      <w:r>
        <w:rPr>
          <w:rFonts w:ascii="Arial" w:cs="Arial" w:eastAsia="Arial" w:hAnsi="Arial"/>
        </w:rPr>
        <w:t xml:space="preserve">Q.3 Failover procedure</w:t>
      </w:r>
    </w:p>
    <w:p>
      <w:pPr>
        <w:spacing w:after="120" w:line="276"/>
      </w:pPr>
      <w:r>
        <w:rPr>
          <w:rFonts w:ascii="Arial" w:cs="Arial" w:eastAsia="Arial" w:hAnsi="Arial"/>
          <w:sz w:val="22"/>
          <w:szCs w:val="22"/>
        </w:rPr>
        <w:t xml:space="preserve">Trust Plane failure: load balancer health checks detect unresponsive ATK instances and route traffic to healthy replicas. If all replicas in a zone fail, deny-by-default is enforced for critical actions; non-critical actions may use a short-TTL safe cache (maximum 30 seconds, low-risk repeats only). The Control Plane enters hold-and-review mode, queuing new cases until Trust Plane is restored. Recovery steps: (1) automated restart of ATK pods, (2) AIBOM cache warm-up from configuration store (target: 60 seconds), (3) OPA bundle synchronization, (4) health check passes, (5) traffic restored. Ledger failure: all planes halt writes and enter read-only mode. No new decisions are issued until ledger writes are confirmed. This is the only component where availability is sacrificed for integrity. Observability failure: critical actions continue if trust and evidence minimums still hold; non-critical actions enter hold-and-review.</w:t>
      </w:r>
    </w:p>
    <w:p>
      <w:pPr>
        <w:pStyle w:val="Heading2"/>
      </w:pPr>
      <w:r>
        <w:rPr>
          <w:rFonts w:ascii="Arial" w:cs="Arial" w:eastAsia="Arial" w:hAnsi="Arial"/>
        </w:rPr>
        <w:t xml:space="preserve">Q.4 DR testing cadence</w:t>
      </w:r>
    </w:p>
    <w:p>
      <w:pPr>
        <w:spacing w:after="120" w:line="276"/>
      </w:pPr>
      <w:r>
        <w:rPr>
          <w:rFonts w:ascii="Arial" w:cs="Arial" w:eastAsia="Arial" w:hAnsi="Arial"/>
          <w:sz w:val="22"/>
          <w:szCs w:val="22"/>
        </w:rPr>
        <w:t xml:space="preserve">Failover drills are executed quarterly. The pilot playbook (Annex P) includes two rollback drills during the 10-week pilot. Post-pilot, the minimum DR testing cadence is: Trust Plane failover drill quarterly, ledger integrity verification daily (automated), full disaster recovery simulation annually (including cross-region failover if applicable).</w:t>
      </w:r>
    </w:p>
    <w:p>
      <w:r>
        <w:br w:type="page"/>
      </w:r>
    </w:p>
    <w:p>
      <w:pPr>
        <w:pStyle w:val="Heading1"/>
      </w:pPr>
      <w:r>
        <w:rPr>
          <w:rFonts w:ascii="Arial" w:cs="Arial" w:eastAsia="Arial" w:hAnsi="Arial"/>
        </w:rPr>
        <w:t xml:space="preserve">Annex R. Procurement and cost support artifacts</w:t>
      </w:r>
    </w:p>
    <w:p>
      <w:pPr>
        <w:spacing w:after="120" w:line="276"/>
      </w:pPr>
      <w:r>
        <w:rPr>
          <w:rFonts w:ascii="Arial" w:cs="Arial" w:eastAsia="Arial" w:hAnsi="Arial"/>
          <w:sz w:val="22"/>
          <w:szCs w:val="22"/>
        </w:rPr>
        <w:t xml:space="preserve">This annex provides procurement teams with cost estimation guidance for ARHIA deployments. See Master Architecture Section 15 for the cost driver table.</w:t>
      </w:r>
    </w:p>
    <w:p>
      <w:pPr>
        <w:pStyle w:val="Heading2"/>
      </w:pPr>
      <w:r>
        <w:rPr>
          <w:rFonts w:ascii="Arial" w:cs="Arial" w:eastAsia="Arial" w:hAnsi="Arial"/>
        </w:rPr>
        <w:t xml:space="preserve">R.1 Zone-based cost/risk matrix</w:t>
      </w:r>
    </w:p>
    <w:p>
      <w:pPr>
        <w:spacing w:after="120" w:line="276"/>
      </w:pPr>
      <w:r>
        <w:rPr>
          <w:rFonts w:ascii="Arial" w:cs="Arial" w:eastAsia="Arial" w:hAnsi="Arial"/>
          <w:sz w:val="22"/>
          <w:szCs w:val="22"/>
        </w:rPr>
        <w:t xml:space="preserve">Zone 1 (on-premises): highest infrastructure cost, lowest risk exposure. Typical drivers: GPU/CPU hardware, physical security, dedicated operations staff. Zone 2 (private cloud): moderate cost, moderate risk. Typical drivers: cloud compute reserved instances, managed database, private networking, compliance certifications. Zone 3 (external cloud): lowest infrastructure cost, highest risk exposure. Typical drivers: API token costs for frontier models, egress bandwidth, masking/anonymization services. The cost/risk tradeoff determines the optimal zone mix for a given deployment: high-sensitivity use cases justify the cost premium of Zone 1; high-volume low-sensitivity use cases benefit from the cost efficiency of Zone 3.</w:t>
      </w:r>
    </w:p>
    <w:p>
      <w:pPr>
        <w:pStyle w:val="Heading2"/>
      </w:pPr>
      <w:r>
        <w:rPr>
          <w:rFonts w:ascii="Arial" w:cs="Arial" w:eastAsia="Arial" w:hAnsi="Arial"/>
        </w:rPr>
        <w:t xml:space="preserve">R.2 Core-M0 sizing worksheet</w:t>
      </w:r>
    </w:p>
    <w:p>
      <w:pPr>
        <w:spacing w:after="120" w:line="276"/>
      </w:pPr>
      <w:r>
        <w:rPr>
          <w:rFonts w:ascii="Arial" w:cs="Arial" w:eastAsia="Arial" w:hAnsi="Arial"/>
          <w:sz w:val="22"/>
          <w:szCs w:val="22"/>
        </w:rPr>
        <w:t xml:space="preserve">Core-M0 is the minimum contractual scope for a first regulated go-live. The sizing worksheet covers: Trust Plane infrastructure (3 ATK instances, OPA sidecars, Redis for token state, PostgreSQL for ledger), Control Plane infrastructure (event bus, case database, workflow engine), Execution Plane baseline (MCP interceptor deployment, agent runtime), Observability stack (OpenTelemetry collector, Grafana/Prometheus or cloud equivalent, log aggregation), and Workbench (web application, notification service). The typical Core-M0 infrastructure cost range for a single-zone private cloud deployment with 1–3 capabilities is USD 8,000–15,000/month, excluding licensing, professional services, and model inference costs. A supplementary Excel-based sizing calculator is available from the implementation team.</w:t>
      </w:r>
    </w:p>
    <w:p>
      <w:pPr>
        <w:pStyle w:val="Heading2"/>
      </w:pPr>
      <w:r>
        <w:rPr>
          <w:rFonts w:ascii="Arial" w:cs="Arial" w:eastAsia="Arial" w:hAnsi="Arial"/>
        </w:rPr>
        <w:t xml:space="preserve">R.3 Minimum evidence obligations for procurement</w:t>
      </w:r>
    </w:p>
    <w:p>
      <w:pPr>
        <w:spacing w:after="120" w:line="276"/>
      </w:pPr>
      <w:r>
        <w:rPr>
          <w:rFonts w:ascii="Arial" w:cs="Arial" w:eastAsia="Arial" w:hAnsi="Arial"/>
          <w:sz w:val="22"/>
          <w:szCs w:val="22"/>
        </w:rPr>
        <w:t xml:space="preserve">Procurement contracts for ARHIA implementations should require the following minimum evidence: a completed pilot evidence package per Annex P / Enterprise Pilot Playbook v2.0, a go/no-go scorecard with a minimum score of 85 points, verified ledger integrity for the pilot period, all critical policy incidents resolved, and a signed Core-M0 deployment plan with RACI, timeline, and SLA commitments. These evidence obligations ensure that procurement decisions are based on demonstrated operational readiness, not projected capabilities.</w:t>
      </w:r>
    </w:p>
    <w:p>
      <w:pPr>
        <w:pBdr>
          <w:top w:val="single" w:color="1B3A5C" w:sz="4" w:space="8"/>
        </w:pBdr>
        <w:spacing w:before="400"/>
      </w:pPr>
      <w:r>
        <w:rPr>
          <w:rFonts w:ascii="Arial" w:cs="Arial" w:eastAsia="Arial" w:hAnsi="Arial"/>
          <w:i/>
          <w:iCs/>
          <w:color w:val="666666"/>
          <w:sz w:val="20"/>
          <w:szCs w:val="20"/>
        </w:rPr>
        <w:t xml:space="preserve">End of ARHIA v11.1 Annex Compendium.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AAAAAA"/>
        <w:sz w:val="16"/>
        <w:szCs w:val="16"/>
      </w:rPr>
      <w:t xml:space="preserve">Sinergia Consulting Group — Confidential / Controlled Use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jc w:val="right"/>
    </w:pPr>
    <w:r>
      <w:rPr>
        <w:rFonts w:ascii="Arial" w:cs="Arial" w:eastAsia="Arial" w:hAnsi="Arial"/>
        <w:i/>
        <w:iCs/>
        <w:color w:val="888888"/>
        <w:sz w:val="18"/>
        <w:szCs w:val="18"/>
      </w:rPr>
      <w:t xml:space="preserve">ARHIA v11.1 — Annex Compendium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5A88"/>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A6FA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2026-03-15T06:03:41.674Z</dcterms:created>
  <dcterms:modified xsi:type="dcterms:W3CDTF">2026-03-15T06:03:41.675Z</dcterms:modified>
</cp:coreProperties>
</file>

<file path=docProps/custom.xml><?xml version="1.0" encoding="utf-8"?>
<Properties xmlns="http://schemas.openxmlformats.org/officeDocument/2006/custom-properties" xmlns:vt="http://schemas.openxmlformats.org/officeDocument/2006/docPropsVTypes"/>
</file>