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ARHIA v11.1 Remediation Traceability Matrix</w:t>
      </w:r>
    </w:p>
    <w:p>
      <w:pPr>
        <w:spacing w:after="20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Mapping every independent review finding to its resolution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Date: 15 March 2026 | All 24 findings: CLOSED (15 original + 9 second-pass audit)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Findings Traceability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table maps each finding from the independent architecture review to the specific remediation action taken and the document/artifact where the fix is implemented.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00"/>
        <w:gridCol w:w="1500"/>
        <w:gridCol w:w="3500"/>
        <w:gridCol w:w="14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 in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Remediation action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Annex Compendium too thin (3,283 chars across 18 annexes)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Annex Compendium v11.1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Expanded Annexes K, L, M, N from paragraph to multi-page profiles with worked examples, edge cases, failure scenarios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MAESTRO absent from landscape crosswalk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 Architecture v11.1 §3, Annex Compendium §A.2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MAESTRO seven-layer mapping to landscape crosswalk table and new Annex A.2 with full layer-to-ARHIA-plane mapping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Singapore reference is generic (no specific citation)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 Architecture v11.1 §3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Cited Singapore CSA Addendum on Securing Agentic AI (October 2025) by name in crosswalk table with specific capability mappings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OWASP ASI taxonomy incorrect (ASI03 mislabeled as Memory Poisoning)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Annex Compendium v11.1 §B.2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Corrected to official December 2025 taxonomy: ASI01–ASI10 with correct titles and descriptions per OWASP GenAI Security Project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is a 75-line script, not FastAPI+OPA+JWT as document claims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arhia_atk_v2/ directory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Built complete FastAPI service with JWT tokens (PyJWT, exp enforcement, audience claims), structured AIBOM validation, explanation records, expanded Rego policy with 6 test cases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MCP interceptor implementation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arhia_atk_v2/mcp_interceptor.py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 MCP interceptor stub with JWT validation, scope checking, evidence logging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workbench simulation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arhia_atk_v2/demo.py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workbench approval scenario to demo script showing evidence presentation and decision capture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HMAC secret hardcoded, no token expiration enforcement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arhia_atk_v2/arhia_atk_service.py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tokens now have exp enforcement via PyJWT. Secret via environment variable. Security notes document production hardening requirements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 Playbook is half-page outline (1,100 chars)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Pilot Playbook v2.0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Expanded to full operational playbook: RACI matrix, 10-week timeline, 8 metric collection procedures, rollback drill script, go/no-go decision matrix with weighted scoring, evidence package template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reading-order guide for document hierarchy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 Architecture v11.1 §How to read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five-tier reading-order guide at start of Master Architecture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competitive positioning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 Overview v1.8 §15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Section 15 with competitive positioning against Prisma AIRS, Zenity, Lasso Security, Gravitee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 principles lack rationale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 Architecture v11.1 §5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Expanded each of the six principles with the failure pattern that motivates them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 and autonomy scale overclaimed as differentiators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 Overview v1.8 §3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Clarified that OpenTelemetry and A0–A4 are intentionally standards-aligned, not proprietary differentiators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ATK Reference Implementation Pack document describes FastAPI but code doesn’t match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ATK Reference Implementation Pack v2.0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rewrite: document now accurately describes the FastAPI service, JWT tokens, OPA integration, MCP stub, and workbench simulation that exist in the code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OPA test cases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arhia_atk_v2/policy/authz_test.rego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 6 test cases: happy path, zone deny, classification deny, AIBOM deny, drift degrade, hash invalid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Annexes H, I, J missing from Compendium (gap in numbering)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Annex Compendium v11.1.1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Annexes H (MCP interoperability summary), I (Incident management and escalation), J (Data classification and zoned execution). Master Architecture annex register updated.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policy_evaluate() uses Python if/elif, not OPA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arhia_atk_service.py v2.1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OPA/Rego evaluation via subprocess with automatic Python fallback. Documented dual-path approach in README and ATK Pack.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AIBOM validation is superficial vs Annex K.2 spec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arhia_atk_service.py v2.1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 validate_aibom() with full 7-check sequence per Annex K.2: signature, hash, zone_allowance, approval_status, risk_classification, staleness.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F-19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allow_with_restrictions and require_human_approval not implemented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arhia_atk_service.py v2.1, demo.py v2.1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6 ATK decisions now implemented. Added /trust/workbench-approve endpoint. Demo script exercises all 6 scenarios.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F-20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verify_aud=False in interceptor, weak security posture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mcp_interceptor.py v2.1, arhia_atk_service.py v2.1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Audience verification enabled when mcp_server_id provided. Prominent security warning block added to source. Startup warnings on demo secrets.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F-21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Rego reason_codes not mutually exclusive, quarantine missing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authz.rego v2.1, authz_test.rego v2.1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Rewritten with guard conditions ensuring mutual exclusivity. Correct precedence: quarantine &gt; degrade &gt; deny. 11 test cases including precedence and exclusivity.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F-22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Annexes Q and R are stubs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Annex Compendium v11.1.1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Annex Q expanded with HA topology, ledger replication, failover procedures, DR testing cadence. Annex R expanded with zone cost/risk matrix, Core-M0 sizing, evidence obligations.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F-23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integration tests, Dockerfile, or CI pipeline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test_integration.py, Dockerfile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22-test integration suite, Dockerfile with optional OPA binary, health check. README documents CI and Docker usage.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Ledger has no external tamper protection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arhia_atk_service.py v2.1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HMAC-SHA256 signing per entry with separate key. Added /trust/ledger/verify endpoint. verify_ledger_integrity() checks chain + HMAC. Security notes document HSM requirement for production.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 </w:t>
      </w:r>
      <w:r>
        <w:rPr>
          <w:rFonts w:ascii="Arial" w:cs="Arial" w:eastAsia="Arial" w:hAnsi="Arial"/>
          <w:sz w:val="22"/>
          <w:szCs w:val="22"/>
        </w:rPr>
        <w:t xml:space="preserve">24 findings identified across two audit passes. First pass (v11.1): 4 Critical, 3 High, 5 Medium, 3 Low (15 findings, all closed). Second pass (v11.1.1): 2 High, 4 Medium, 3 Low (9 findings, all closed). All 24 findings CLOSED.</w:t>
      </w:r>
    </w:p>
    <w:p>
      <w:pPr>
        <w:pBdr>
          <w:top w:val="single" w:color="1B3A5C" w:sz="4" w:space="8"/>
        </w:pBdr>
        <w:spacing w:before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Remediation Traceability Matrix.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Sinergia Consulting Group — Confidential / Controlled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ARHIA v11.1 — Remediation Traceability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2026-03-15T06:03:44.423Z</dcterms:created>
  <dcterms:modified xsi:type="dcterms:W3CDTF">2026-03-15T06:03:44.424Z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