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F3864"/>
          <w:sz w:val="26"/>
          <w:szCs w:val="26"/>
        </w:rPr>
        <w:t xml:space="preserve">SINERGIA CONSULTING GROUP S.A.S.</w:t>
      </w:r>
    </w:p>
    <w:p>
      <w:pPr>
        <w:spacing w:after="600" w:before="120"/>
        <w:jc w:val="center"/>
      </w:pPr>
      <w:r>
        <w:rPr>
          <w:i/>
          <w:iCs/>
          <w:color w:val="595959"/>
          <w:sz w:val="20"/>
          <w:szCs w:val="20"/>
        </w:rPr>
        <w:t xml:space="preserve">Barranquilla • Bogotá • Colombia</w:t>
      </w:r>
    </w:p>
    <w:p>
      <w:pPr>
        <w:spacing w:before="400"/>
        <w:jc w:val="center"/>
      </w:pPr>
      <w:r>
        <w:rPr>
          <w:b/>
          <w:bCs/>
          <w:color w:val="1F3864"/>
          <w:sz w:val="72"/>
          <w:szCs w:val="72"/>
        </w:rPr>
        <w:t xml:space="preserve">ARHIAX</w:t>
      </w:r>
    </w:p>
    <w:p>
      <w:pPr>
        <w:spacing w:after="200" w:before="60"/>
        <w:jc w:val="center"/>
      </w:pPr>
      <w:r>
        <w:rPr>
          <w:i/>
          <w:iCs/>
          <w:color w:val="2E75B6"/>
          <w:sz w:val="22"/>
          <w:szCs w:val="22"/>
        </w:rPr>
        <w:t xml:space="preserve">Agentic Runtime for Human-in-Architecture</w:t>
      </w:r>
    </w:p>
    <w:p>
      <w:pPr>
        <w:spacing w:after="200" w:before="600"/>
        <w:jc w:val="center"/>
      </w:pPr>
      <w:r>
        <w:rPr>
          <w:b/>
          <w:bCs/>
          <w:color w:val="1F3864"/>
          <w:sz w:val="36"/>
          <w:szCs w:val="36"/>
        </w:rPr>
        <w:t xml:space="preserve">36 Controles de Gobernanza Multi-Agente</w:t>
      </w:r>
    </w:p>
    <w:p>
      <w:pPr>
        <w:spacing w:after="200"/>
        <w:jc w:val="center"/>
      </w:pPr>
      <w:r>
        <w:rPr>
          <w:color w:val="595959"/>
          <w:sz w:val="24"/>
          <w:szCs w:val="24"/>
        </w:rPr>
        <w:t xml:space="preserve">Auditable Control Registry — ARISE 4-Question Model</w:t>
      </w:r>
    </w:p>
    <w:p>
      <w:pPr>
        <w:spacing w:after="800" w:before="400"/>
        <w:jc w:val="center"/>
      </w:pPr>
      <w:r>
        <w:rPr>
          <w:i/>
          <w:iCs/>
          <w:color w:val="2E75B6"/>
          <w:sz w:val="22"/>
          <w:szCs w:val="22"/>
        </w:rPr>
        <w:t xml:space="preserve">What is implemented? Who is responsible? What evidence is generated? How often is it validated?</w:t>
      </w:r>
    </w:p>
    <w:p>
      <w:pPr>
        <w:spacing w:before="1200"/>
        <w:jc w:val="center"/>
      </w:pPr>
      <w:r>
        <w:rPr>
          <w:b/>
          <w:bCs/>
          <w:color w:val="1F3864"/>
          <w:sz w:val="22"/>
          <w:szCs w:val="22"/>
        </w:rPr>
        <w:t xml:space="preserve">Document Reference: TR-2026-031-CR</w:t>
      </w:r>
    </w:p>
    <w:p>
      <w:pPr>
        <w:spacing w:before="100"/>
        <w:jc w:val="center"/>
      </w:pPr>
      <w:r>
        <w:rPr>
          <w:sz w:val="20"/>
          <w:szCs w:val="20"/>
        </w:rPr>
        <w:t xml:space="preserve">Version: 11.4</w:t>
      </w:r>
    </w:p>
    <w:p>
      <w:pPr>
        <w:spacing w:before="60"/>
        <w:jc w:val="center"/>
      </w:pPr>
      <w:r>
        <w:rPr>
          <w:sz w:val="20"/>
          <w:szCs w:val="20"/>
        </w:rPr>
        <w:t xml:space="preserve">April 2026</w:t>
      </w:r>
    </w:p>
    <w:p>
      <w:pPr>
        <w:spacing w:before="60"/>
        <w:jc w:val="center"/>
      </w:pPr>
      <w:r>
        <w:rPr>
          <w:b/>
          <w:bCs/>
          <w:color w:val="C00000"/>
          <w:sz w:val="18"/>
          <w:szCs w:val="18"/>
        </w:rPr>
        <w:t xml:space="preserve">Classification: CONFIDENTIAL</w:t>
      </w:r>
    </w:p>
    <w:p>
      <w:pPr>
        <w:spacing w:before="1600"/>
        <w:jc w:val="center"/>
      </w:pPr>
      <w:r>
        <w:rPr>
          <w:color w:val="595959"/>
          <w:sz w:val="16"/>
          <w:szCs w:val="16"/>
        </w:rPr>
        <w:t xml:space="preserve">© 2026 Sinergia Consulting Group S.A.S. • All Rights Reserved</w:t>
      </w:r>
    </w:p>
    <w:p>
      <w:r>
        <w:br w:type="page"/>
      </w:r>
    </w:p>
    <w:p>
      <w:pPr>
        <w:pStyle w:val="Heading1"/>
      </w:pPr>
      <w:r>
        <w:t xml:space="preserve">1. Propósito del Documento</w:t>
      </w:r>
    </w:p>
    <w:p>
      <w:pPr>
        <w:spacing w:after="120" w:line="300"/>
        <w:jc w:val="both"/>
      </w:pPr>
      <w:r>
        <w:t xml:space="preserve">Este documento es el registro de control oficial de ARHIAX v11.4. Reconcilia los 47 controles informales del registro de v11.1 y los reduce a 36 controles auditables formales agrupados en 8 subsistemas. La reducción no es una pérdida de cobertura: los controles redundantes de v11.1 fueron consolidados, los controles aspiracionales fueron eliminados o promovidos a controles ejecutables, y se añadieron 15 controles nuevos derivados de las extensiones de Phase 1 (AIM, EGA), Phase 2 (MFCE), y Phase 3 (D-TCG+ v2, BBR, IPM).</w:t>
      </w:r>
    </w:p>
    <w:p>
      <w:pPr>
        <w:spacing w:after="120" w:line="300"/>
        <w:jc w:val="both"/>
      </w:pPr>
      <w:r>
        <w:t xml:space="preserve">Cada control responde el modelo ARISE de cuatro preguntas: ¿Qué se implementa? ¿Quién es responsable? ¿Qué evidencia se genera? ¿Con qué frecuencia se valida? Las respuestas son ejecutables: el campo de evidencia mapea directamente al tipo EGA correspondiente, y la frecuencia se enforza en runtime mediante OPA/Rego o el ATK envelope.</w:t>
      </w:r>
    </w:p>
    <w:p>
      <w:pPr>
        <w:pStyle w:val="Heading1"/>
      </w:pPr>
      <w:r>
        <w:t xml:space="preserve">2. Resumen por Subsistema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1500"/>
        <w:gridCol w:w="2000"/>
        <w:gridCol w:w="17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Subsistema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Controles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Nuevos en v11.4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Plano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Tipo de Evidencia Principal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ATK — Agent Trust Kernel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Trust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(per-invocation)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AIM — Agent Identity Module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Trust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(lifecycle)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ABO — AI Bill of Materials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Trust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 (on-event)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HIC — Human-in-Architecture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Trust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APR (on-trigger)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 — Autonomy Scale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Trust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 + APR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OPA — Policy Engine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Control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+ TST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DTG — D-TCG+ v2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Control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+ MET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EGA — Evidence Architecture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Trust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 (continuous)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Trust:27 / Control:9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evidence types</w:t>
            </w:r>
          </w:p>
        </w:tc>
      </w:tr>
    </w:tbl>
    <w:p>
      <w:pPr>
        <w:pStyle w:val="Heading1"/>
      </w:pPr>
      <w:r>
        <w:t xml:space="preserve">3. Registro Completo de los 36 Controles</w:t>
      </w:r>
    </w:p>
    <w:p>
      <w:pPr>
        <w:spacing w:after="120" w:line="300"/>
        <w:jc w:val="both"/>
      </w:pPr>
      <w:r>
        <w:t xml:space="preserve">Cada fila siguiente es un control auditable. Las columnas son: ID, Subsistema, Nombre, Implementación (qué hace), Responsable (quién lo opera), Evidencia (qué emite), Frecuencia (cuándo se valida).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50"/>
        <w:gridCol w:w="3500"/>
        <w:gridCol w:w="2010"/>
        <w:gridCol w:w="18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ID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Subsistema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Nombre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Evidencia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Frecuencia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ATK-C01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ATK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Identity Resolution Hook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(per-invocation)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Continuous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ATK-C02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ATK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Authorization Envelope Evaluation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(per-invocation)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Continuous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ATK-C03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ATK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Prompt Inspection on Ingress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+ MET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Continuous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ATK-C04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ATK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Output Safety Inspection on Egress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+ MET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Continuous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ATK-C05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ATK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Behavioral Baseline Check (BBR Hook)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+ MET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Continuous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ATK-C06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ATK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Autonomy Gate Evaluation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+ APR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Per-invocation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ATK-C07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ATK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Configuration Audit (NEW v11.4)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 (on-event)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Per-startup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AIM-C01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AIM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NHI Credential Issuance (NEW v11.4)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(lifecycle)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Per-event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AIM-C02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AIM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6-Phase Lifecycle Enforcement (NEW v11.4)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+ APR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Per-event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AIM-C03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AIM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Credential Rotation Schedule (NEW v11.4)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+ ATT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Periodic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ABO-C01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AIBOM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Manifest Generation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 (on-event)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Per-deployment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ABO-C02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AIBOM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Dependency Provenance Tracking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Per-deployment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ABO-C03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AIBOM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Retirement Evidence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Per-event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HIC-C01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HIC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Pre-Deployment Review Gate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APR (on-trigger)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Per-deployment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HIC-C02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HIC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High-Impact Decision Gate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Per-trigger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HIC-C03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HIC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Anomaly Escalation Gate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APR + LOG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Per-trigger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HIC-C04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HIC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Periodic Recertification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Periodic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HIC-C05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HIC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Incident Lessons-Learned Review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APR + ATT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Per-incident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AUT-C01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Autonomy Level Assignment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 + APR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Per-deployment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AUT-C02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5-Gate Promotion Protocol (NEW v11.4)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APR (per-promotion)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Per-promotion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AUT-C03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Demotion Protocol (NEW v11.4)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APR + LOG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Per-event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AUT-C04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Maturity Model Crosswalk (NEW v11.4)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Continuous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AUT-C05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Autonomy-Calibrated Thresholds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Continuous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OPA-C01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OPA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Bundle Signing and Distribution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 + LOG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Per-release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OPA-C02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OPA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Decision Latency SLO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Continuous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OPA-C03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OPA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Regression Testing (NEW v11.4)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Per-change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OPA-C04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OPA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Decision Logging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Continuous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DTG-C01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DTG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L3 Tool Call Trajectory Monitoring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+ MET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Continuous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DTG-C02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DTG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BBR Baseline Lifecycle (NEW v11.4)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+ MET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Continuous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DTG-C03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DTG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Cross-Domain Correlation (NEW v11.4)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+ MET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Continuous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DTG-C04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DTG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Playbook Dispatch (NEW v11.4)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+ APR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Per-incident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DTG-C05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DTG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Post-Incident Baseline Reset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 + LOG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Per-incident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EGA-C01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EGA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Evidence Type Schema Conformance (NEW v11.4)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 + TST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Continuous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EGA-C02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EGA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HMAC Chain-of-Custody (NEW v11.4)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Continuous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EGA-C03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EGA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Ledger Commit (NEW v11.4)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+ MET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Continuous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EGA-C04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EGA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Retention Tier Enforcement (NEW v11.4)</w:t>
            </w:r>
          </w:p>
        </w:tc>
        <w:tc>
          <w:tcPr>
            <w:tcW w:type="dxa" w:w="2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 + ATT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Continuous</w:t>
            </w:r>
          </w:p>
        </w:tc>
      </w:tr>
    </w:tbl>
    <w:p>
      <w:pPr>
        <w:pStyle w:val="Heading1"/>
      </w:pPr>
      <w:r>
        <w:t xml:space="preserve">4. Detalle de Controles</w:t>
      </w:r>
    </w:p>
    <w:p>
      <w:pPr>
        <w:pStyle w:val="Heading3"/>
      </w:pPr>
      <w:r>
        <w:t xml:space="preserve">ATK-C01 — Identity Resolution Hook</w:t>
      </w:r>
    </w:p>
    <w:p>
      <w:pPr>
        <w:spacing w:after="120" w:line="300"/>
        <w:jc w:val="both"/>
      </w:pPr>
      <w:r>
        <w:rPr>
          <w:b/>
          <w:bCs/>
        </w:rPr>
        <w:t xml:space="preserve">Subsistema: ATK.</w:t>
      </w:r>
    </w:p>
    <w:p>
      <w:pPr>
        <w:spacing w:after="120" w:line="300"/>
        <w:jc w:val="both"/>
      </w:pPr>
      <w:r>
        <w:t xml:space="preserve">Qué se implementa: ATK resolves the calling agent identity against AIM on every invocation before any policy evaluation.</w:t>
      </w:r>
    </w:p>
    <w:p>
      <w:pPr>
        <w:spacing w:after="120" w:line="300"/>
        <w:jc w:val="both"/>
      </w:pPr>
      <w:r>
        <w:t xml:space="preserve">Quién es responsable: ATK Service Owner / Sec Eng.</w:t>
      </w:r>
    </w:p>
    <w:p>
      <w:pPr>
        <w:spacing w:after="120" w:line="300"/>
        <w:jc w:val="both"/>
      </w:pPr>
      <w:r>
        <w:t xml:space="preserve">Qué evidencia se genera: LOG (per-invocation).</w:t>
      </w:r>
    </w:p>
    <w:p>
      <w:pPr>
        <w:spacing w:after="120" w:line="300"/>
        <w:jc w:val="both"/>
      </w:pPr>
      <w:r>
        <w:t xml:space="preserve">Con qué frecuencia se valida: Continuous.</w:t>
      </w:r>
    </w:p>
    <w:p>
      <w:pPr>
        <w:pStyle w:val="Heading3"/>
      </w:pPr>
      <w:r>
        <w:t xml:space="preserve">ATK-C02 — Authorization Envelope Evaluation</w:t>
      </w:r>
    </w:p>
    <w:p>
      <w:pPr>
        <w:spacing w:after="120" w:line="300"/>
        <w:jc w:val="both"/>
      </w:pPr>
      <w:r>
        <w:rPr>
          <w:b/>
          <w:bCs/>
        </w:rPr>
        <w:t xml:space="preserve">Subsistema: ATK.</w:t>
      </w:r>
    </w:p>
    <w:p>
      <w:pPr>
        <w:spacing w:after="120" w:line="300"/>
        <w:jc w:val="both"/>
      </w:pPr>
      <w:r>
        <w:t xml:space="preserve">Qué se implementa: ATK invokes OPA/Rego runtime bundles (B01-B13) and records the decision outcome.</w:t>
      </w:r>
    </w:p>
    <w:p>
      <w:pPr>
        <w:spacing w:after="120" w:line="300"/>
        <w:jc w:val="both"/>
      </w:pPr>
      <w:r>
        <w:t xml:space="preserve">Quién es responsable: Sec Eng / Policy Owner.</w:t>
      </w:r>
    </w:p>
    <w:p>
      <w:pPr>
        <w:spacing w:after="120" w:line="300"/>
        <w:jc w:val="both"/>
      </w:pPr>
      <w:r>
        <w:t xml:space="preserve">Qué evidencia se genera: LOG (per-invocation).</w:t>
      </w:r>
    </w:p>
    <w:p>
      <w:pPr>
        <w:spacing w:after="120" w:line="300"/>
        <w:jc w:val="both"/>
      </w:pPr>
      <w:r>
        <w:t xml:space="preserve">Con qué frecuencia se valida: Continuous.</w:t>
      </w:r>
    </w:p>
    <w:p>
      <w:pPr>
        <w:pStyle w:val="Heading3"/>
      </w:pPr>
      <w:r>
        <w:t xml:space="preserve">ATK-C03 — Prompt Inspection on Ingress</w:t>
      </w:r>
    </w:p>
    <w:p>
      <w:pPr>
        <w:spacing w:after="120" w:line="300"/>
        <w:jc w:val="both"/>
      </w:pPr>
      <w:r>
        <w:rPr>
          <w:b/>
          <w:bCs/>
        </w:rPr>
        <w:t xml:space="preserve">Subsistema: ATK.</w:t>
      </w:r>
    </w:p>
    <w:p>
      <w:pPr>
        <w:spacing w:after="120" w:line="300"/>
        <w:jc w:val="both"/>
      </w:pPr>
      <w:r>
        <w:t xml:space="preserve">Qué se implementa: ATK inspects prompts for injection / jailbreak indicators before forwarding to the Execution Plane.</w:t>
      </w:r>
    </w:p>
    <w:p>
      <w:pPr>
        <w:spacing w:after="120" w:line="300"/>
        <w:jc w:val="both"/>
      </w:pPr>
      <w:r>
        <w:t xml:space="preserve">Quién es responsable: Sec Eng.</w:t>
      </w:r>
    </w:p>
    <w:p>
      <w:pPr>
        <w:spacing w:after="120" w:line="300"/>
        <w:jc w:val="both"/>
      </w:pPr>
      <w:r>
        <w:t xml:space="preserve">Qué evidencia se genera: LOG + MET.</w:t>
      </w:r>
    </w:p>
    <w:p>
      <w:pPr>
        <w:spacing w:after="120" w:line="300"/>
        <w:jc w:val="both"/>
      </w:pPr>
      <w:r>
        <w:t xml:space="preserve">Con qué frecuencia se valida: Continuous.</w:t>
      </w:r>
    </w:p>
    <w:p>
      <w:pPr>
        <w:pStyle w:val="Heading3"/>
      </w:pPr>
      <w:r>
        <w:t xml:space="preserve">ATK-C04 — Output Safety Inspection on Egress</w:t>
      </w:r>
    </w:p>
    <w:p>
      <w:pPr>
        <w:spacing w:after="120" w:line="300"/>
        <w:jc w:val="both"/>
      </w:pPr>
      <w:r>
        <w:rPr>
          <w:b/>
          <w:bCs/>
        </w:rPr>
        <w:t xml:space="preserve">Subsistema: ATK.</w:t>
      </w:r>
    </w:p>
    <w:p>
      <w:pPr>
        <w:spacing w:after="120" w:line="300"/>
        <w:jc w:val="both"/>
      </w:pPr>
      <w:r>
        <w:t xml:space="preserve">Qué se implementa: ATK inspects model outputs for safety flags before returning to the caller.</w:t>
      </w:r>
    </w:p>
    <w:p>
      <w:pPr>
        <w:spacing w:after="120" w:line="300"/>
        <w:jc w:val="both"/>
      </w:pPr>
      <w:r>
        <w:t xml:space="preserve">Quién es responsable: Sec Eng.</w:t>
      </w:r>
    </w:p>
    <w:p>
      <w:pPr>
        <w:spacing w:after="120" w:line="300"/>
        <w:jc w:val="both"/>
      </w:pPr>
      <w:r>
        <w:t xml:space="preserve">Qué evidencia se genera: LOG + MET.</w:t>
      </w:r>
    </w:p>
    <w:p>
      <w:pPr>
        <w:spacing w:after="120" w:line="300"/>
        <w:jc w:val="both"/>
      </w:pPr>
      <w:r>
        <w:t xml:space="preserve">Con qué frecuencia se valida: Continuous.</w:t>
      </w:r>
    </w:p>
    <w:p>
      <w:pPr>
        <w:pStyle w:val="Heading3"/>
      </w:pPr>
      <w:r>
        <w:t xml:space="preserve">ATK-C05 — Behavioral Baseline Check (BBR Hook)</w:t>
      </w:r>
    </w:p>
    <w:p>
      <w:pPr>
        <w:spacing w:after="120" w:line="300"/>
        <w:jc w:val="both"/>
      </w:pPr>
      <w:r>
        <w:rPr>
          <w:b/>
          <w:bCs/>
        </w:rPr>
        <w:t xml:space="preserve">Subsistema: ATK.</w:t>
      </w:r>
    </w:p>
    <w:p>
      <w:pPr>
        <w:spacing w:after="120" w:line="300"/>
        <w:jc w:val="both"/>
      </w:pPr>
      <w:r>
        <w:t xml:space="preserve">Qué se implementa: ATK queries BBR for the calling agent baseline and computes deviation score on every invocation.</w:t>
      </w:r>
    </w:p>
    <w:p>
      <w:pPr>
        <w:spacing w:after="120" w:line="300"/>
        <w:jc w:val="both"/>
      </w:pPr>
      <w:r>
        <w:t xml:space="preserve">Quién es responsable: Sec Eng / D-TCG+ Owner.</w:t>
      </w:r>
    </w:p>
    <w:p>
      <w:pPr>
        <w:spacing w:after="120" w:line="300"/>
        <w:jc w:val="both"/>
      </w:pPr>
      <w:r>
        <w:t xml:space="preserve">Qué evidencia se genera: LOG + MET.</w:t>
      </w:r>
    </w:p>
    <w:p>
      <w:pPr>
        <w:spacing w:after="120" w:line="300"/>
        <w:jc w:val="both"/>
      </w:pPr>
      <w:r>
        <w:t xml:space="preserve">Con qué frecuencia se valida: Continuous.</w:t>
      </w:r>
    </w:p>
    <w:p>
      <w:pPr>
        <w:pStyle w:val="Heading3"/>
      </w:pPr>
      <w:r>
        <w:t xml:space="preserve">ATK-C06 — Autonomy Gate Evaluation</w:t>
      </w:r>
    </w:p>
    <w:p>
      <w:pPr>
        <w:spacing w:after="120" w:line="300"/>
        <w:jc w:val="both"/>
      </w:pPr>
      <w:r>
        <w:rPr>
          <w:b/>
          <w:bCs/>
        </w:rPr>
        <w:t xml:space="preserve">Subsistema: ATK.</w:t>
      </w:r>
    </w:p>
    <w:p>
      <w:pPr>
        <w:spacing w:after="120" w:line="300"/>
        <w:jc w:val="both"/>
      </w:pPr>
      <w:r>
        <w:t xml:space="preserve">Qué se implementa: ATK enforces the autonomy level of the calling agent and routes to HIC on gate failure.</w:t>
      </w:r>
    </w:p>
    <w:p>
      <w:pPr>
        <w:spacing w:after="120" w:line="300"/>
        <w:jc w:val="both"/>
      </w:pPr>
      <w:r>
        <w:t xml:space="preserve">Quién es responsable: AUT Owner / HIC Owner.</w:t>
      </w:r>
    </w:p>
    <w:p>
      <w:pPr>
        <w:spacing w:after="120" w:line="300"/>
        <w:jc w:val="both"/>
      </w:pPr>
      <w:r>
        <w:t xml:space="preserve">Qué evidencia se genera: LOG + APR.</w:t>
      </w:r>
    </w:p>
    <w:p>
      <w:pPr>
        <w:spacing w:after="120" w:line="300"/>
        <w:jc w:val="both"/>
      </w:pPr>
      <w:r>
        <w:t xml:space="preserve">Con qué frecuencia se valida: Per-invocation.</w:t>
      </w:r>
    </w:p>
    <w:p>
      <w:pPr>
        <w:pStyle w:val="Heading3"/>
      </w:pPr>
      <w:r>
        <w:t xml:space="preserve">ATK-C07 — Configuration Audit (NEW v11.4)</w:t>
      </w:r>
    </w:p>
    <w:p>
      <w:pPr>
        <w:spacing w:after="120" w:line="300"/>
        <w:jc w:val="both"/>
      </w:pPr>
      <w:r>
        <w:rPr>
          <w:b/>
          <w:bCs/>
        </w:rPr>
        <w:t xml:space="preserve">Subsistema: ATK.</w:t>
      </w:r>
    </w:p>
    <w:p>
      <w:pPr>
        <w:spacing w:after="120" w:line="300"/>
        <w:jc w:val="both"/>
      </w:pPr>
      <w:r>
        <w:t xml:space="preserve">Qué se implementa: ATK records its own runtime configuration on startup and on hot-reload to EGA as ATT evidence.</w:t>
      </w:r>
    </w:p>
    <w:p>
      <w:pPr>
        <w:spacing w:after="120" w:line="300"/>
        <w:jc w:val="both"/>
      </w:pPr>
      <w:r>
        <w:t xml:space="preserve">Quién es responsable: ATK Service Owner.</w:t>
      </w:r>
    </w:p>
    <w:p>
      <w:pPr>
        <w:spacing w:after="120" w:line="300"/>
        <w:jc w:val="both"/>
      </w:pPr>
      <w:r>
        <w:t xml:space="preserve">Qué evidencia se genera: ATT (on-event).</w:t>
      </w:r>
    </w:p>
    <w:p>
      <w:pPr>
        <w:spacing w:after="120" w:line="300"/>
        <w:jc w:val="both"/>
      </w:pPr>
      <w:r>
        <w:t xml:space="preserve">Con qué frecuencia se valida: Per-startup.</w:t>
      </w:r>
    </w:p>
    <w:p>
      <w:pPr>
        <w:pStyle w:val="Heading3"/>
      </w:pPr>
      <w:r>
        <w:t xml:space="preserve">AIM-C01 — NHI Credential Issuance (NEW v11.4)</w:t>
      </w:r>
    </w:p>
    <w:p>
      <w:pPr>
        <w:spacing w:after="120" w:line="300"/>
        <w:jc w:val="both"/>
      </w:pPr>
      <w:r>
        <w:rPr>
          <w:b/>
          <w:bCs/>
        </w:rPr>
        <w:t xml:space="preserve">Subsistema: AIM.</w:t>
      </w:r>
    </w:p>
    <w:p>
      <w:pPr>
        <w:spacing w:after="120" w:line="300"/>
        <w:jc w:val="both"/>
      </w:pPr>
      <w:r>
        <w:t xml:space="preserve">Qué se implementa: AIM issues 10-field NHI credentials for every governed agent and binds them to the 4-layer identity chain.</w:t>
      </w:r>
    </w:p>
    <w:p>
      <w:pPr>
        <w:spacing w:after="120" w:line="300"/>
        <w:jc w:val="both"/>
      </w:pPr>
      <w:r>
        <w:t xml:space="preserve">Quién es responsable: AIM Owner / Identity Eng.</w:t>
      </w:r>
    </w:p>
    <w:p>
      <w:pPr>
        <w:spacing w:after="120" w:line="300"/>
        <w:jc w:val="both"/>
      </w:pPr>
      <w:r>
        <w:t xml:space="preserve">Qué evidencia se genera: LOG (lifecycle).</w:t>
      </w:r>
    </w:p>
    <w:p>
      <w:pPr>
        <w:spacing w:after="120" w:line="300"/>
        <w:jc w:val="both"/>
      </w:pPr>
      <w:r>
        <w:t xml:space="preserve">Con qué frecuencia se valida: Per-event.</w:t>
      </w:r>
    </w:p>
    <w:p>
      <w:pPr>
        <w:pStyle w:val="Heading3"/>
      </w:pPr>
      <w:r>
        <w:t xml:space="preserve">AIM-C02 — 6-Phase Lifecycle Enforcement (NEW v11.4)</w:t>
      </w:r>
    </w:p>
    <w:p>
      <w:pPr>
        <w:spacing w:after="120" w:line="300"/>
        <w:jc w:val="both"/>
      </w:pPr>
      <w:r>
        <w:rPr>
          <w:b/>
          <w:bCs/>
        </w:rPr>
        <w:t xml:space="preserve">Subsistema: AIM.</w:t>
      </w:r>
    </w:p>
    <w:p>
      <w:pPr>
        <w:spacing w:after="120" w:line="300"/>
        <w:jc w:val="both"/>
      </w:pPr>
      <w:r>
        <w:t xml:space="preserve">Qué se implementa: AIM enforces Creation, Rotation, Promotion, Demotion, Suspension, Retirement transitions with policy gating.</w:t>
      </w:r>
    </w:p>
    <w:p>
      <w:pPr>
        <w:spacing w:after="120" w:line="300"/>
        <w:jc w:val="both"/>
      </w:pPr>
      <w:r>
        <w:t xml:space="preserve">Quién es responsable: AIM Owner.</w:t>
      </w:r>
    </w:p>
    <w:p>
      <w:pPr>
        <w:spacing w:after="120" w:line="300"/>
        <w:jc w:val="both"/>
      </w:pPr>
      <w:r>
        <w:t xml:space="preserve">Qué evidencia se genera: LOG + APR.</w:t>
      </w:r>
    </w:p>
    <w:p>
      <w:pPr>
        <w:spacing w:after="120" w:line="300"/>
        <w:jc w:val="both"/>
      </w:pPr>
      <w:r>
        <w:t xml:space="preserve">Con qué frecuencia se valida: Per-event.</w:t>
      </w:r>
    </w:p>
    <w:p>
      <w:pPr>
        <w:pStyle w:val="Heading3"/>
      </w:pPr>
      <w:r>
        <w:t xml:space="preserve">AIM-C03 — Credential Rotation Schedule (NEW v11.4)</w:t>
      </w:r>
    </w:p>
    <w:p>
      <w:pPr>
        <w:spacing w:after="120" w:line="300"/>
        <w:jc w:val="both"/>
      </w:pPr>
      <w:r>
        <w:rPr>
          <w:b/>
          <w:bCs/>
        </w:rPr>
        <w:t xml:space="preserve">Subsistema: AIM.</w:t>
      </w:r>
    </w:p>
    <w:p>
      <w:pPr>
        <w:spacing w:after="120" w:line="300"/>
        <w:jc w:val="both"/>
      </w:pPr>
      <w:r>
        <w:t xml:space="preserve">Qué se implementa: AIM rotates agent credentials on a configurable schedule and records rotation evidence.</w:t>
      </w:r>
    </w:p>
    <w:p>
      <w:pPr>
        <w:spacing w:after="120" w:line="300"/>
        <w:jc w:val="both"/>
      </w:pPr>
      <w:r>
        <w:t xml:space="preserve">Quién es responsable: AIM Owner.</w:t>
      </w:r>
    </w:p>
    <w:p>
      <w:pPr>
        <w:spacing w:after="120" w:line="300"/>
        <w:jc w:val="both"/>
      </w:pPr>
      <w:r>
        <w:t xml:space="preserve">Qué evidencia se genera: LOG + ATT.</w:t>
      </w:r>
    </w:p>
    <w:p>
      <w:pPr>
        <w:spacing w:after="120" w:line="300"/>
        <w:jc w:val="both"/>
      </w:pPr>
      <w:r>
        <w:t xml:space="preserve">Con qué frecuencia se valida: Periodic.</w:t>
      </w:r>
    </w:p>
    <w:p>
      <w:pPr>
        <w:pStyle w:val="Heading3"/>
      </w:pPr>
      <w:r>
        <w:t xml:space="preserve">ABO-C01 — Agent Manifest Generation</w:t>
      </w:r>
    </w:p>
    <w:p>
      <w:pPr>
        <w:spacing w:after="120" w:line="300"/>
        <w:jc w:val="both"/>
      </w:pPr>
      <w:r>
        <w:rPr>
          <w:b/>
          <w:bCs/>
        </w:rPr>
        <w:t xml:space="preserve">Subsistema: AIBOM.</w:t>
      </w:r>
    </w:p>
    <w:p>
      <w:pPr>
        <w:spacing w:after="120" w:line="300"/>
        <w:jc w:val="both"/>
      </w:pPr>
      <w:r>
        <w:t xml:space="preserve">Qué se implementa: AIBOM generates and signs a manifest for every deployed agent including model, tools, prompts, dependencies, and AIM credential reference.</w:t>
      </w:r>
    </w:p>
    <w:p>
      <w:pPr>
        <w:spacing w:after="120" w:line="300"/>
        <w:jc w:val="both"/>
      </w:pPr>
      <w:r>
        <w:t xml:space="preserve">Quién es responsable: AIBOM Owner / Eng Lead.</w:t>
      </w:r>
    </w:p>
    <w:p>
      <w:pPr>
        <w:spacing w:after="120" w:line="300"/>
        <w:jc w:val="both"/>
      </w:pPr>
      <w:r>
        <w:t xml:space="preserve">Qué evidencia se genera: ATT (on-event).</w:t>
      </w:r>
    </w:p>
    <w:p>
      <w:pPr>
        <w:spacing w:after="120" w:line="300"/>
        <w:jc w:val="both"/>
      </w:pPr>
      <w:r>
        <w:t xml:space="preserve">Con qué frecuencia se valida: Per-deployment.</w:t>
      </w:r>
    </w:p>
    <w:p>
      <w:pPr>
        <w:pStyle w:val="Heading3"/>
      </w:pPr>
      <w:r>
        <w:t xml:space="preserve">ABO-C02 — Dependency Provenance Tracking</w:t>
      </w:r>
    </w:p>
    <w:p>
      <w:pPr>
        <w:spacing w:after="120" w:line="300"/>
        <w:jc w:val="both"/>
      </w:pPr>
      <w:r>
        <w:rPr>
          <w:b/>
          <w:bCs/>
        </w:rPr>
        <w:t xml:space="preserve">Subsistema: AIBOM.</w:t>
      </w:r>
    </w:p>
    <w:p>
      <w:pPr>
        <w:spacing w:after="120" w:line="300"/>
        <w:jc w:val="both"/>
      </w:pPr>
      <w:r>
        <w:t xml:space="preserve">Qué se implementa: AIBOM tracks the provenance of every dependency in the agent manifest and flags unverified sources.</w:t>
      </w:r>
    </w:p>
    <w:p>
      <w:pPr>
        <w:spacing w:after="120" w:line="300"/>
        <w:jc w:val="both"/>
      </w:pPr>
      <w:r>
        <w:t xml:space="preserve">Quién es responsable: AIBOM Owner.</w:t>
      </w:r>
    </w:p>
    <w:p>
      <w:pPr>
        <w:spacing w:after="120" w:line="300"/>
        <w:jc w:val="both"/>
      </w:pPr>
      <w:r>
        <w:t xml:space="preserve">Qué evidencia se genera: ATT.</w:t>
      </w:r>
    </w:p>
    <w:p>
      <w:pPr>
        <w:spacing w:after="120" w:line="300"/>
        <w:jc w:val="both"/>
      </w:pPr>
      <w:r>
        <w:t xml:space="preserve">Con qué frecuencia se valida: Per-deployment.</w:t>
      </w:r>
    </w:p>
    <w:p>
      <w:pPr>
        <w:pStyle w:val="Heading3"/>
      </w:pPr>
      <w:r>
        <w:t xml:space="preserve">ABO-C03 — Retirement Evidence</w:t>
      </w:r>
    </w:p>
    <w:p>
      <w:pPr>
        <w:spacing w:after="120" w:line="300"/>
        <w:jc w:val="both"/>
      </w:pPr>
      <w:r>
        <w:rPr>
          <w:b/>
          <w:bCs/>
        </w:rPr>
        <w:t xml:space="preserve">Subsistema: AIBOM.</w:t>
      </w:r>
    </w:p>
    <w:p>
      <w:pPr>
        <w:spacing w:after="120" w:line="300"/>
        <w:jc w:val="both"/>
      </w:pPr>
      <w:r>
        <w:t xml:space="preserve">Qué se implementa: AIBOM emits a retirement attestation when an agent is decommissioned, including final state and reason.</w:t>
      </w:r>
    </w:p>
    <w:p>
      <w:pPr>
        <w:spacing w:after="120" w:line="300"/>
        <w:jc w:val="both"/>
      </w:pPr>
      <w:r>
        <w:t xml:space="preserve">Quién es responsable: AIBOM Owner / AIM Owner.</w:t>
      </w:r>
    </w:p>
    <w:p>
      <w:pPr>
        <w:spacing w:after="120" w:line="300"/>
        <w:jc w:val="both"/>
      </w:pPr>
      <w:r>
        <w:t xml:space="preserve">Qué evidencia se genera: ATT.</w:t>
      </w:r>
    </w:p>
    <w:p>
      <w:pPr>
        <w:spacing w:after="120" w:line="300"/>
        <w:jc w:val="both"/>
      </w:pPr>
      <w:r>
        <w:t xml:space="preserve">Con qué frecuencia se valida: Per-event.</w:t>
      </w:r>
    </w:p>
    <w:p>
      <w:pPr>
        <w:pStyle w:val="Heading3"/>
      </w:pPr>
      <w:r>
        <w:t xml:space="preserve">HIC-C01 — Pre-Deployment Review Gate</w:t>
      </w:r>
    </w:p>
    <w:p>
      <w:pPr>
        <w:spacing w:after="120" w:line="300"/>
        <w:jc w:val="both"/>
      </w:pPr>
      <w:r>
        <w:rPr>
          <w:b/>
          <w:bCs/>
        </w:rPr>
        <w:t xml:space="preserve">Subsistema: HIC.</w:t>
      </w:r>
    </w:p>
    <w:p>
      <w:pPr>
        <w:spacing w:after="120" w:line="300"/>
        <w:jc w:val="both"/>
      </w:pPr>
      <w:r>
        <w:t xml:space="preserve">Qué se implementa: HIC enforces human review before any agent is promoted to a production autonomy level.</w:t>
      </w:r>
    </w:p>
    <w:p>
      <w:pPr>
        <w:spacing w:after="120" w:line="300"/>
        <w:jc w:val="both"/>
      </w:pPr>
      <w:r>
        <w:t xml:space="preserve">Quién es responsable: Compliance / Eng Lead.</w:t>
      </w:r>
    </w:p>
    <w:p>
      <w:pPr>
        <w:spacing w:after="120" w:line="300"/>
        <w:jc w:val="both"/>
      </w:pPr>
      <w:r>
        <w:t xml:space="preserve">Qué evidencia se genera: APR (on-trigger).</w:t>
      </w:r>
    </w:p>
    <w:p>
      <w:pPr>
        <w:spacing w:after="120" w:line="300"/>
        <w:jc w:val="both"/>
      </w:pPr>
      <w:r>
        <w:t xml:space="preserve">Con qué frecuencia se valida: Per-deployment.</w:t>
      </w:r>
    </w:p>
    <w:p>
      <w:pPr>
        <w:pStyle w:val="Heading3"/>
      </w:pPr>
      <w:r>
        <w:t xml:space="preserve">HIC-C02 — High-Impact Decision Gate</w:t>
      </w:r>
    </w:p>
    <w:p>
      <w:pPr>
        <w:spacing w:after="120" w:line="300"/>
        <w:jc w:val="both"/>
      </w:pPr>
      <w:r>
        <w:rPr>
          <w:b/>
          <w:bCs/>
        </w:rPr>
        <w:t xml:space="preserve">Subsistema: HIC.</w:t>
      </w:r>
    </w:p>
    <w:p>
      <w:pPr>
        <w:spacing w:after="120" w:line="300"/>
        <w:jc w:val="both"/>
      </w:pPr>
      <w:r>
        <w:t xml:space="preserve">Qué se implementa: HIC enforces human approval on every decision flagged as high-impact by the autonomy gate.</w:t>
      </w:r>
    </w:p>
    <w:p>
      <w:pPr>
        <w:spacing w:after="120" w:line="300"/>
        <w:jc w:val="both"/>
      </w:pPr>
      <w:r>
        <w:t xml:space="preserve">Quién es responsable: Business Owner.</w:t>
      </w:r>
    </w:p>
    <w:p>
      <w:pPr>
        <w:spacing w:after="120" w:line="300"/>
        <w:jc w:val="both"/>
      </w:pPr>
      <w:r>
        <w:t xml:space="preserve">Qué evidencia se genera: APR.</w:t>
      </w:r>
    </w:p>
    <w:p>
      <w:pPr>
        <w:spacing w:after="120" w:line="300"/>
        <w:jc w:val="both"/>
      </w:pPr>
      <w:r>
        <w:t xml:space="preserve">Con qué frecuencia se valida: Per-trigger.</w:t>
      </w:r>
    </w:p>
    <w:p>
      <w:pPr>
        <w:pStyle w:val="Heading3"/>
      </w:pPr>
      <w:r>
        <w:t xml:space="preserve">HIC-C03 — Anomaly Escalation Gate</w:t>
      </w:r>
    </w:p>
    <w:p>
      <w:pPr>
        <w:spacing w:after="120" w:line="300"/>
        <w:jc w:val="both"/>
      </w:pPr>
      <w:r>
        <w:rPr>
          <w:b/>
          <w:bCs/>
        </w:rPr>
        <w:t xml:space="preserve">Subsistema: HIC.</w:t>
      </w:r>
    </w:p>
    <w:p>
      <w:pPr>
        <w:spacing w:after="120" w:line="300"/>
        <w:jc w:val="both"/>
      </w:pPr>
      <w:r>
        <w:t xml:space="preserve">Qué se implementa: HIC receives novel anomaly alerts from D-TCG+ when no playbook match is found and routes them to a human investigator.</w:t>
      </w:r>
    </w:p>
    <w:p>
      <w:pPr>
        <w:spacing w:after="120" w:line="300"/>
        <w:jc w:val="both"/>
      </w:pPr>
      <w:r>
        <w:t xml:space="preserve">Quién es responsable: SecOps.</w:t>
      </w:r>
    </w:p>
    <w:p>
      <w:pPr>
        <w:spacing w:after="120" w:line="300"/>
        <w:jc w:val="both"/>
      </w:pPr>
      <w:r>
        <w:t xml:space="preserve">Qué evidencia se genera: APR + LOG.</w:t>
      </w:r>
    </w:p>
    <w:p>
      <w:pPr>
        <w:spacing w:after="120" w:line="300"/>
        <w:jc w:val="both"/>
      </w:pPr>
      <w:r>
        <w:t xml:space="preserve">Con qué frecuencia se valida: Per-trigger.</w:t>
      </w:r>
    </w:p>
    <w:p>
      <w:pPr>
        <w:pStyle w:val="Heading3"/>
      </w:pPr>
      <w:r>
        <w:t xml:space="preserve">HIC-C04 — Periodic Recertification</w:t>
      </w:r>
    </w:p>
    <w:p>
      <w:pPr>
        <w:spacing w:after="120" w:line="300"/>
        <w:jc w:val="both"/>
      </w:pPr>
      <w:r>
        <w:rPr>
          <w:b/>
          <w:bCs/>
        </w:rPr>
        <w:t xml:space="preserve">Subsistema: HIC.</w:t>
      </w:r>
    </w:p>
    <w:p>
      <w:pPr>
        <w:spacing w:after="120" w:line="300"/>
        <w:jc w:val="both"/>
      </w:pPr>
      <w:r>
        <w:t xml:space="preserve">Qué se implementa: HIC enforces periodic recertification of every governed agent at a frequency determined by autonomy level.</w:t>
      </w:r>
    </w:p>
    <w:p>
      <w:pPr>
        <w:spacing w:after="120" w:line="300"/>
        <w:jc w:val="both"/>
      </w:pPr>
      <w:r>
        <w:t xml:space="preserve">Quién es responsable: Compliance.</w:t>
      </w:r>
    </w:p>
    <w:p>
      <w:pPr>
        <w:spacing w:after="120" w:line="300"/>
        <w:jc w:val="both"/>
      </w:pPr>
      <w:r>
        <w:t xml:space="preserve">Qué evidencia se genera: APR.</w:t>
      </w:r>
    </w:p>
    <w:p>
      <w:pPr>
        <w:spacing w:after="120" w:line="300"/>
        <w:jc w:val="both"/>
      </w:pPr>
      <w:r>
        <w:t xml:space="preserve">Con qué frecuencia se valida: Periodic.</w:t>
      </w:r>
    </w:p>
    <w:p>
      <w:pPr>
        <w:pStyle w:val="Heading3"/>
      </w:pPr>
      <w:r>
        <w:t xml:space="preserve">HIC-C05 — Incident Lessons-Learned Review</w:t>
      </w:r>
    </w:p>
    <w:p>
      <w:pPr>
        <w:spacing w:after="120" w:line="300"/>
        <w:jc w:val="both"/>
      </w:pPr>
      <w:r>
        <w:rPr>
          <w:b/>
          <w:bCs/>
        </w:rPr>
        <w:t xml:space="preserve">Subsistema: HIC.</w:t>
      </w:r>
    </w:p>
    <w:p>
      <w:pPr>
        <w:spacing w:after="120" w:line="300"/>
        <w:jc w:val="both"/>
      </w:pPr>
      <w:r>
        <w:t xml:space="preserve">Qué se implementa: HIC enforces a structured lessons-learned review at the close of every D-TCG+ playbook execution.</w:t>
      </w:r>
    </w:p>
    <w:p>
      <w:pPr>
        <w:spacing w:after="120" w:line="300"/>
        <w:jc w:val="both"/>
      </w:pPr>
      <w:r>
        <w:t xml:space="preserve">Quién es responsable: SecOps / Risk.</w:t>
      </w:r>
    </w:p>
    <w:p>
      <w:pPr>
        <w:spacing w:after="120" w:line="300"/>
        <w:jc w:val="both"/>
      </w:pPr>
      <w:r>
        <w:t xml:space="preserve">Qué evidencia se genera: APR + ATT.</w:t>
      </w:r>
    </w:p>
    <w:p>
      <w:pPr>
        <w:spacing w:after="120" w:line="300"/>
        <w:jc w:val="both"/>
      </w:pPr>
      <w:r>
        <w:t xml:space="preserve">Con qué frecuencia se valida: Per-incident.</w:t>
      </w:r>
    </w:p>
    <w:p>
      <w:pPr>
        <w:pStyle w:val="Heading3"/>
      </w:pPr>
      <w:r>
        <w:t xml:space="preserve">AUT-C01 — Autonomy Level Assignment</w:t>
      </w:r>
    </w:p>
    <w:p>
      <w:pPr>
        <w:spacing w:after="120" w:line="300"/>
        <w:jc w:val="both"/>
      </w:pPr>
      <w:r>
        <w:rPr>
          <w:b/>
          <w:bCs/>
        </w:rPr>
        <w:t xml:space="preserve">Subsistema: AUT.</w:t>
      </w:r>
    </w:p>
    <w:p>
      <w:pPr>
        <w:spacing w:after="120" w:line="300"/>
        <w:jc w:val="both"/>
      </w:pPr>
      <w:r>
        <w:t xml:space="preserve">Qué se implementa: AUT assigns an A0-A4 autonomy level to every governed agent based on capability and risk assessment.</w:t>
      </w:r>
    </w:p>
    <w:p>
      <w:pPr>
        <w:spacing w:after="120" w:line="300"/>
        <w:jc w:val="both"/>
      </w:pPr>
      <w:r>
        <w:t xml:space="preserve">Quién es responsable: Risk Owner.</w:t>
      </w:r>
    </w:p>
    <w:p>
      <w:pPr>
        <w:spacing w:after="120" w:line="300"/>
        <w:jc w:val="both"/>
      </w:pPr>
      <w:r>
        <w:t xml:space="preserve">Qué evidencia se genera: MET + APR.</w:t>
      </w:r>
    </w:p>
    <w:p>
      <w:pPr>
        <w:spacing w:after="120" w:line="300"/>
        <w:jc w:val="both"/>
      </w:pPr>
      <w:r>
        <w:t xml:space="preserve">Con qué frecuencia se valida: Per-deployment.</w:t>
      </w:r>
    </w:p>
    <w:p>
      <w:pPr>
        <w:pStyle w:val="Heading3"/>
      </w:pPr>
      <w:r>
        <w:t xml:space="preserve">AUT-C02 — 5-Gate Promotion Protocol (NEW v11.4)</w:t>
      </w:r>
    </w:p>
    <w:p>
      <w:pPr>
        <w:spacing w:after="120" w:line="300"/>
        <w:jc w:val="both"/>
      </w:pPr>
      <w:r>
        <w:rPr>
          <w:b/>
          <w:bCs/>
        </w:rPr>
        <w:t xml:space="preserve">Subsistema: AUT.</w:t>
      </w:r>
    </w:p>
    <w:p>
      <w:pPr>
        <w:spacing w:after="120" w:line="300"/>
        <w:jc w:val="both"/>
      </w:pPr>
      <w:r>
        <w:t xml:space="preserve">Qué se implementa: AUT enforces the 5-gate promotion protocol: Performance, Security, Business Impact, Clean History, Governance Sign-off.</w:t>
      </w:r>
    </w:p>
    <w:p>
      <w:pPr>
        <w:spacing w:after="120" w:line="300"/>
        <w:jc w:val="both"/>
      </w:pPr>
      <w:r>
        <w:t xml:space="preserve">Quién es responsable: Risk Owner / Eng Lead.</w:t>
      </w:r>
    </w:p>
    <w:p>
      <w:pPr>
        <w:spacing w:after="120" w:line="300"/>
        <w:jc w:val="both"/>
      </w:pPr>
      <w:r>
        <w:t xml:space="preserve">Qué evidencia se genera: APR (per-promotion).</w:t>
      </w:r>
    </w:p>
    <w:p>
      <w:pPr>
        <w:spacing w:after="120" w:line="300"/>
        <w:jc w:val="both"/>
      </w:pPr>
      <w:r>
        <w:t xml:space="preserve">Con qué frecuencia se valida: Per-promotion.</w:t>
      </w:r>
    </w:p>
    <w:p>
      <w:pPr>
        <w:pStyle w:val="Heading3"/>
      </w:pPr>
      <w:r>
        <w:t xml:space="preserve">AUT-C03 — Demotion Protocol (NEW v11.4)</w:t>
      </w:r>
    </w:p>
    <w:p>
      <w:pPr>
        <w:spacing w:after="120" w:line="300"/>
        <w:jc w:val="both"/>
      </w:pPr>
      <w:r>
        <w:rPr>
          <w:b/>
          <w:bCs/>
        </w:rPr>
        <w:t xml:space="preserve">Subsistema: AUT.</w:t>
      </w:r>
    </w:p>
    <w:p>
      <w:pPr>
        <w:spacing w:after="120" w:line="300"/>
        <w:jc w:val="both"/>
      </w:pPr>
      <w:r>
        <w:t xml:space="preserve">Qué se implementa: AUT enforces an automatic demotion protocol on incident close or sustained baseline drift.</w:t>
      </w:r>
    </w:p>
    <w:p>
      <w:pPr>
        <w:spacing w:after="120" w:line="300"/>
        <w:jc w:val="both"/>
      </w:pPr>
      <w:r>
        <w:t xml:space="preserve">Quién es responsable: Risk Owner / SecOps.</w:t>
      </w:r>
    </w:p>
    <w:p>
      <w:pPr>
        <w:spacing w:after="120" w:line="300"/>
        <w:jc w:val="both"/>
      </w:pPr>
      <w:r>
        <w:t xml:space="preserve">Qué evidencia se genera: APR + LOG.</w:t>
      </w:r>
    </w:p>
    <w:p>
      <w:pPr>
        <w:spacing w:after="120" w:line="300"/>
        <w:jc w:val="both"/>
      </w:pPr>
      <w:r>
        <w:t xml:space="preserve">Con qué frecuencia se valida: Per-event.</w:t>
      </w:r>
    </w:p>
    <w:p>
      <w:pPr>
        <w:pStyle w:val="Heading3"/>
      </w:pPr>
      <w:r>
        <w:t xml:space="preserve">AUT-C04 — Maturity Model Crosswalk (NEW v11.4)</w:t>
      </w:r>
    </w:p>
    <w:p>
      <w:pPr>
        <w:spacing w:after="120" w:line="300"/>
        <w:jc w:val="both"/>
      </w:pPr>
      <w:r>
        <w:rPr>
          <w:b/>
          <w:bCs/>
        </w:rPr>
        <w:t xml:space="preserve">Subsistema: AUT.</w:t>
      </w:r>
    </w:p>
    <w:p>
      <w:pPr>
        <w:spacing w:after="120" w:line="300"/>
        <w:jc w:val="both"/>
      </w:pPr>
      <w:r>
        <w:t xml:space="preserve">Qué se implementa: AUT maintains a live crosswalk between the A0-A4 scale and 5 external maturity models (CSA, NVIDIA, KPMG TACO, McKinsey RAI, Singapore MGF).</w:t>
      </w:r>
    </w:p>
    <w:p>
      <w:pPr>
        <w:spacing w:after="120" w:line="300"/>
        <w:jc w:val="both"/>
      </w:pPr>
      <w:r>
        <w:t xml:space="preserve">Quién es responsable: MFCE Owner.</w:t>
      </w:r>
    </w:p>
    <w:p>
      <w:pPr>
        <w:spacing w:after="120" w:line="300"/>
        <w:jc w:val="both"/>
      </w:pPr>
      <w:r>
        <w:t xml:space="preserve">Qué evidencia se genera: MET.</w:t>
      </w:r>
    </w:p>
    <w:p>
      <w:pPr>
        <w:spacing w:after="120" w:line="300"/>
        <w:jc w:val="both"/>
      </w:pPr>
      <w:r>
        <w:t xml:space="preserve">Con qué frecuencia se valida: Continuous.</w:t>
      </w:r>
    </w:p>
    <w:p>
      <w:pPr>
        <w:pStyle w:val="Heading3"/>
      </w:pPr>
      <w:r>
        <w:t xml:space="preserve">AUT-C05 — Autonomy-Calibrated Thresholds</w:t>
      </w:r>
    </w:p>
    <w:p>
      <w:pPr>
        <w:spacing w:after="120" w:line="300"/>
        <w:jc w:val="both"/>
      </w:pPr>
      <w:r>
        <w:rPr>
          <w:b/>
          <w:bCs/>
        </w:rPr>
        <w:t xml:space="preserve">Subsistema: AUT.</w:t>
      </w:r>
    </w:p>
    <w:p>
      <w:pPr>
        <w:spacing w:after="120" w:line="300"/>
        <w:jc w:val="both"/>
      </w:pPr>
      <w:r>
        <w:t xml:space="preserve">Qué se implementa: AUT publishes autonomy-calibrated deviation thresholds (2.0σ at A1 ramping to 3.5σ at A4) consumed by BBR and D-TCG+.</w:t>
      </w:r>
    </w:p>
    <w:p>
      <w:pPr>
        <w:spacing w:after="120" w:line="300"/>
        <w:jc w:val="both"/>
      </w:pPr>
      <w:r>
        <w:t xml:space="preserve">Quién es responsable: AUT Owner / D-TCG+ Owner.</w:t>
      </w:r>
    </w:p>
    <w:p>
      <w:pPr>
        <w:spacing w:after="120" w:line="300"/>
        <w:jc w:val="both"/>
      </w:pPr>
      <w:r>
        <w:t xml:space="preserve">Qué evidencia se genera: MET.</w:t>
      </w:r>
    </w:p>
    <w:p>
      <w:pPr>
        <w:spacing w:after="120" w:line="300"/>
        <w:jc w:val="both"/>
      </w:pPr>
      <w:r>
        <w:t xml:space="preserve">Con qué frecuencia se valida: Continuous.</w:t>
      </w:r>
    </w:p>
    <w:p>
      <w:pPr>
        <w:pStyle w:val="Heading3"/>
      </w:pPr>
      <w:r>
        <w:t xml:space="preserve">OPA-C01 — Bundle Signing and Distribution</w:t>
      </w:r>
    </w:p>
    <w:p>
      <w:pPr>
        <w:spacing w:after="120" w:line="300"/>
        <w:jc w:val="both"/>
      </w:pPr>
      <w:r>
        <w:rPr>
          <w:b/>
          <w:bCs/>
        </w:rPr>
        <w:t xml:space="preserve">Subsistema: OPA.</w:t>
      </w:r>
    </w:p>
    <w:p>
      <w:pPr>
        <w:spacing w:after="120" w:line="300"/>
        <w:jc w:val="both"/>
      </w:pPr>
      <w:r>
        <w:t xml:space="preserve">Qué se implementa: OPA bundles are signed and distributed via a tamper-evident channel with version pinning.</w:t>
      </w:r>
    </w:p>
    <w:p>
      <w:pPr>
        <w:spacing w:after="120" w:line="300"/>
        <w:jc w:val="both"/>
      </w:pPr>
      <w:r>
        <w:t xml:space="preserve">Quién es responsable: Policy Owner / SecOps.</w:t>
      </w:r>
    </w:p>
    <w:p>
      <w:pPr>
        <w:spacing w:after="120" w:line="300"/>
        <w:jc w:val="both"/>
      </w:pPr>
      <w:r>
        <w:t xml:space="preserve">Qué evidencia se genera: ATT + LOG.</w:t>
      </w:r>
    </w:p>
    <w:p>
      <w:pPr>
        <w:spacing w:after="120" w:line="300"/>
        <w:jc w:val="both"/>
      </w:pPr>
      <w:r>
        <w:t xml:space="preserve">Con qué frecuencia se valida: Per-release.</w:t>
      </w:r>
    </w:p>
    <w:p>
      <w:pPr>
        <w:pStyle w:val="Heading3"/>
      </w:pPr>
      <w:r>
        <w:t xml:space="preserve">OPA-C02 — Decision Latency SLO</w:t>
      </w:r>
    </w:p>
    <w:p>
      <w:pPr>
        <w:spacing w:after="120" w:line="300"/>
        <w:jc w:val="both"/>
      </w:pPr>
      <w:r>
        <w:rPr>
          <w:b/>
          <w:bCs/>
        </w:rPr>
        <w:t xml:space="preserve">Subsistema: OPA.</w:t>
      </w:r>
    </w:p>
    <w:p>
      <w:pPr>
        <w:spacing w:after="120" w:line="300"/>
        <w:jc w:val="both"/>
      </w:pPr>
      <w:r>
        <w:t xml:space="preserve">Qué se implementa: OPA decisions for runtime bundles meet the P99 less than 50 millisecond latency SLO.</w:t>
      </w:r>
    </w:p>
    <w:p>
      <w:pPr>
        <w:spacing w:after="120" w:line="300"/>
        <w:jc w:val="both"/>
      </w:pPr>
      <w:r>
        <w:t xml:space="preserve">Quién es responsable: Policy Owner / SRE.</w:t>
      </w:r>
    </w:p>
    <w:p>
      <w:pPr>
        <w:spacing w:after="120" w:line="300"/>
        <w:jc w:val="both"/>
      </w:pPr>
      <w:r>
        <w:t xml:space="preserve">Qué evidencia se genera: MET.</w:t>
      </w:r>
    </w:p>
    <w:p>
      <w:pPr>
        <w:spacing w:after="120" w:line="300"/>
        <w:jc w:val="both"/>
      </w:pPr>
      <w:r>
        <w:t xml:space="preserve">Con qué frecuencia se valida: Continuous.</w:t>
      </w:r>
    </w:p>
    <w:p>
      <w:pPr>
        <w:pStyle w:val="Heading3"/>
      </w:pPr>
      <w:r>
        <w:t xml:space="preserve">OPA-C03 — Regression Testing (NEW v11.4)</w:t>
      </w:r>
    </w:p>
    <w:p>
      <w:pPr>
        <w:spacing w:after="120" w:line="300"/>
        <w:jc w:val="both"/>
      </w:pPr>
      <w:r>
        <w:rPr>
          <w:b/>
          <w:bCs/>
        </w:rPr>
        <w:t xml:space="preserve">Subsistema: OPA.</w:t>
      </w:r>
    </w:p>
    <w:p>
      <w:pPr>
        <w:spacing w:after="120" w:line="300"/>
        <w:jc w:val="both"/>
      </w:pPr>
      <w:r>
        <w:t xml:space="preserve">Qué se implementa: OPA bundles ship with a regression test suite that runs on every change and on every release.</w:t>
      </w:r>
    </w:p>
    <w:p>
      <w:pPr>
        <w:spacing w:after="120" w:line="300"/>
        <w:jc w:val="both"/>
      </w:pPr>
      <w:r>
        <w:t xml:space="preserve">Quién es responsable: Policy Owner.</w:t>
      </w:r>
    </w:p>
    <w:p>
      <w:pPr>
        <w:spacing w:after="120" w:line="300"/>
        <w:jc w:val="both"/>
      </w:pPr>
      <w:r>
        <w:t xml:space="preserve">Qué evidencia se genera: TST.</w:t>
      </w:r>
    </w:p>
    <w:p>
      <w:pPr>
        <w:spacing w:after="120" w:line="300"/>
        <w:jc w:val="both"/>
      </w:pPr>
      <w:r>
        <w:t xml:space="preserve">Con qué frecuencia se valida: Per-change.</w:t>
      </w:r>
    </w:p>
    <w:p>
      <w:pPr>
        <w:pStyle w:val="Heading3"/>
      </w:pPr>
      <w:r>
        <w:t xml:space="preserve">OPA-C04 — Decision Logging</w:t>
      </w:r>
    </w:p>
    <w:p>
      <w:pPr>
        <w:spacing w:after="120" w:line="300"/>
        <w:jc w:val="both"/>
      </w:pPr>
      <w:r>
        <w:rPr>
          <w:b/>
          <w:bCs/>
        </w:rPr>
        <w:t xml:space="preserve">Subsistema: OPA.</w:t>
      </w:r>
    </w:p>
    <w:p>
      <w:pPr>
        <w:spacing w:after="120" w:line="300"/>
        <w:jc w:val="both"/>
      </w:pPr>
      <w:r>
        <w:t xml:space="preserve">Qué se implementa: OPA emits a structured decision log for every evaluation including input, output, and bundle version.</w:t>
      </w:r>
    </w:p>
    <w:p>
      <w:pPr>
        <w:spacing w:after="120" w:line="300"/>
        <w:jc w:val="both"/>
      </w:pPr>
      <w:r>
        <w:t xml:space="preserve">Quién es responsable: Policy Owner / SecOps.</w:t>
      </w:r>
    </w:p>
    <w:p>
      <w:pPr>
        <w:spacing w:after="120" w:line="300"/>
        <w:jc w:val="both"/>
      </w:pPr>
      <w:r>
        <w:t xml:space="preserve">Qué evidencia se genera: LOG.</w:t>
      </w:r>
    </w:p>
    <w:p>
      <w:pPr>
        <w:spacing w:after="120" w:line="300"/>
        <w:jc w:val="both"/>
      </w:pPr>
      <w:r>
        <w:t xml:space="preserve">Con qué frecuencia se valida: Continuous.</w:t>
      </w:r>
    </w:p>
    <w:p>
      <w:pPr>
        <w:pStyle w:val="Heading3"/>
      </w:pPr>
      <w:r>
        <w:t xml:space="preserve">DTG-C01 — L3 Tool Call Trajectory Monitoring</w:t>
      </w:r>
    </w:p>
    <w:p>
      <w:pPr>
        <w:spacing w:after="120" w:line="300"/>
        <w:jc w:val="both"/>
      </w:pPr>
      <w:r>
        <w:rPr>
          <w:b/>
          <w:bCs/>
        </w:rPr>
        <w:t xml:space="preserve">Subsistema: DTG.</w:t>
      </w:r>
    </w:p>
    <w:p>
      <w:pPr>
        <w:spacing w:after="120" w:line="300"/>
        <w:jc w:val="both"/>
      </w:pPr>
      <w:r>
        <w:t xml:space="preserve">Qué se implementa: D-TCG+ monitors tool call trajectories and flags parameter anomalies and out-of-sequence invocations.</w:t>
      </w:r>
    </w:p>
    <w:p>
      <w:pPr>
        <w:spacing w:after="120" w:line="300"/>
        <w:jc w:val="both"/>
      </w:pPr>
      <w:r>
        <w:t xml:space="preserve">Quién es responsable: D-TCG+ Owner / SecOps.</w:t>
      </w:r>
    </w:p>
    <w:p>
      <w:pPr>
        <w:spacing w:after="120" w:line="300"/>
        <w:jc w:val="both"/>
      </w:pPr>
      <w:r>
        <w:t xml:space="preserve">Qué evidencia se genera: LOG + MET.</w:t>
      </w:r>
    </w:p>
    <w:p>
      <w:pPr>
        <w:spacing w:after="120" w:line="300"/>
        <w:jc w:val="both"/>
      </w:pPr>
      <w:r>
        <w:t xml:space="preserve">Con qué frecuencia se valida: Continuous.</w:t>
      </w:r>
    </w:p>
    <w:p>
      <w:pPr>
        <w:pStyle w:val="Heading3"/>
      </w:pPr>
      <w:r>
        <w:t xml:space="preserve">DTG-C02 — BBR Baseline Lifecycle (NEW v11.4)</w:t>
      </w:r>
    </w:p>
    <w:p>
      <w:pPr>
        <w:spacing w:after="120" w:line="300"/>
        <w:jc w:val="both"/>
      </w:pPr>
      <w:r>
        <w:rPr>
          <w:b/>
          <w:bCs/>
        </w:rPr>
        <w:t xml:space="preserve">Subsistema: DTG.</w:t>
      </w:r>
    </w:p>
    <w:p>
      <w:pPr>
        <w:spacing w:after="120" w:line="300"/>
        <w:jc w:val="both"/>
      </w:pPr>
      <w:r>
        <w:t xml:space="preserve">Qué se implementa: D-TCG+ manages the per-agent behavioral baseline (creation, update, drift alerting, post-incident invalidation).</w:t>
      </w:r>
    </w:p>
    <w:p>
      <w:pPr>
        <w:spacing w:after="120" w:line="300"/>
        <w:jc w:val="both"/>
      </w:pPr>
      <w:r>
        <w:t xml:space="preserve">Quién es responsable: D-TCG+ Owner.</w:t>
      </w:r>
    </w:p>
    <w:p>
      <w:pPr>
        <w:spacing w:after="120" w:line="300"/>
        <w:jc w:val="both"/>
      </w:pPr>
      <w:r>
        <w:t xml:space="preserve">Qué evidencia se genera: LOG + MET.</w:t>
      </w:r>
    </w:p>
    <w:p>
      <w:pPr>
        <w:spacing w:after="120" w:line="300"/>
        <w:jc w:val="both"/>
      </w:pPr>
      <w:r>
        <w:t xml:space="preserve">Con qué frecuencia se valida: Continuous.</w:t>
      </w:r>
    </w:p>
    <w:p>
      <w:pPr>
        <w:pStyle w:val="Heading3"/>
      </w:pPr>
      <w:r>
        <w:t xml:space="preserve">DTG-C03 — Cross-Domain Correlation (NEW v11.4)</w:t>
      </w:r>
    </w:p>
    <w:p>
      <w:pPr>
        <w:spacing w:after="120" w:line="300"/>
        <w:jc w:val="both"/>
      </w:pPr>
      <w:r>
        <w:rPr>
          <w:b/>
          <w:bCs/>
        </w:rPr>
        <w:t xml:space="preserve">Subsistema: DTG.</w:t>
      </w:r>
    </w:p>
    <w:p>
      <w:pPr>
        <w:spacing w:after="120" w:line="300"/>
        <w:jc w:val="both"/>
      </w:pPr>
      <w:r>
        <w:t xml:space="preserve">Qué se implementa: D-TCG+ ingests L1-L4 telemetry into CEF-ARHIA, computes CLAS, and applies the 10 correlation rules.</w:t>
      </w:r>
    </w:p>
    <w:p>
      <w:pPr>
        <w:spacing w:after="120" w:line="300"/>
        <w:jc w:val="both"/>
      </w:pPr>
      <w:r>
        <w:t xml:space="preserve">Quién es responsable: D-TCG+ Owner / SecOps.</w:t>
      </w:r>
    </w:p>
    <w:p>
      <w:pPr>
        <w:spacing w:after="120" w:line="300"/>
        <w:jc w:val="both"/>
      </w:pPr>
      <w:r>
        <w:t xml:space="preserve">Qué evidencia se genera: LOG + MET.</w:t>
      </w:r>
    </w:p>
    <w:p>
      <w:pPr>
        <w:spacing w:after="120" w:line="300"/>
        <w:jc w:val="both"/>
      </w:pPr>
      <w:r>
        <w:t xml:space="preserve">Con qué frecuencia se valida: Continuous.</w:t>
      </w:r>
    </w:p>
    <w:p>
      <w:pPr>
        <w:pStyle w:val="Heading3"/>
      </w:pPr>
      <w:r>
        <w:t xml:space="preserve">DTG-C04 — Playbook Dispatch (NEW v11.4)</w:t>
      </w:r>
    </w:p>
    <w:p>
      <w:pPr>
        <w:spacing w:after="120" w:line="300"/>
        <w:jc w:val="both"/>
      </w:pPr>
      <w:r>
        <w:rPr>
          <w:b/>
          <w:bCs/>
        </w:rPr>
        <w:t xml:space="preserve">Subsistema: DTG.</w:t>
      </w:r>
    </w:p>
    <w:p>
      <w:pPr>
        <w:spacing w:after="120" w:line="300"/>
        <w:jc w:val="both"/>
      </w:pPr>
      <w:r>
        <w:t xml:space="preserve">Qué se implementa: D-TCG+ dispatches the matching OWASP ASI playbook (PB-01..PB-10) on signature match via the IPM.</w:t>
      </w:r>
    </w:p>
    <w:p>
      <w:pPr>
        <w:spacing w:after="120" w:line="300"/>
        <w:jc w:val="both"/>
      </w:pPr>
      <w:r>
        <w:t xml:space="preserve">Quién es responsable: SecOps / IR Lead.</w:t>
      </w:r>
    </w:p>
    <w:p>
      <w:pPr>
        <w:spacing w:after="120" w:line="300"/>
        <w:jc w:val="both"/>
      </w:pPr>
      <w:r>
        <w:t xml:space="preserve">Qué evidencia se genera: LOG + APR.</w:t>
      </w:r>
    </w:p>
    <w:p>
      <w:pPr>
        <w:spacing w:after="120" w:line="300"/>
        <w:jc w:val="both"/>
      </w:pPr>
      <w:r>
        <w:t xml:space="preserve">Con qué frecuencia se valida: Per-incident.</w:t>
      </w:r>
    </w:p>
    <w:p>
      <w:pPr>
        <w:pStyle w:val="Heading3"/>
      </w:pPr>
      <w:r>
        <w:t xml:space="preserve">DTG-C05 — Post-Incident Baseline Reset</w:t>
      </w:r>
    </w:p>
    <w:p>
      <w:pPr>
        <w:spacing w:after="120" w:line="300"/>
        <w:jc w:val="both"/>
      </w:pPr>
      <w:r>
        <w:rPr>
          <w:b/>
          <w:bCs/>
        </w:rPr>
        <w:t xml:space="preserve">Subsistema: DTG.</w:t>
      </w:r>
    </w:p>
    <w:p>
      <w:pPr>
        <w:spacing w:after="120" w:line="300"/>
        <w:jc w:val="both"/>
      </w:pPr>
      <w:r>
        <w:t xml:space="preserve">Qué se implementa: D-TCG+ resets and re-baselines the affected agent after every confirmed incident close.</w:t>
      </w:r>
    </w:p>
    <w:p>
      <w:pPr>
        <w:spacing w:after="120" w:line="300"/>
        <w:jc w:val="both"/>
      </w:pPr>
      <w:r>
        <w:t xml:space="preserve">Quién es responsable: D-TCG+ Owner / SecOps.</w:t>
      </w:r>
    </w:p>
    <w:p>
      <w:pPr>
        <w:spacing w:after="120" w:line="300"/>
        <w:jc w:val="both"/>
      </w:pPr>
      <w:r>
        <w:t xml:space="preserve">Qué evidencia se genera: ATT + LOG.</w:t>
      </w:r>
    </w:p>
    <w:p>
      <w:pPr>
        <w:spacing w:after="120" w:line="300"/>
        <w:jc w:val="both"/>
      </w:pPr>
      <w:r>
        <w:t xml:space="preserve">Con qué frecuencia se valida: Per-incident.</w:t>
      </w:r>
    </w:p>
    <w:p>
      <w:pPr>
        <w:pStyle w:val="Heading3"/>
      </w:pPr>
      <w:r>
        <w:t xml:space="preserve">EGA-C01 — Evidence Type Schema Conformance (NEW v11.4)</w:t>
      </w:r>
    </w:p>
    <w:p>
      <w:pPr>
        <w:spacing w:after="120" w:line="300"/>
        <w:jc w:val="both"/>
      </w:pPr>
      <w:r>
        <w:rPr>
          <w:b/>
          <w:bCs/>
        </w:rPr>
        <w:t xml:space="preserve">Subsistema: EGA.</w:t>
      </w:r>
    </w:p>
    <w:p>
      <w:pPr>
        <w:spacing w:after="120" w:line="300"/>
        <w:jc w:val="both"/>
      </w:pPr>
      <w:r>
        <w:t xml:space="preserve">Qué se implementa: EGA validates every emitted evidence document against the JSON-LD schema for its evidence type (LOG, ATT, MET, APR, TST).</w:t>
      </w:r>
    </w:p>
    <w:p>
      <w:pPr>
        <w:spacing w:after="120" w:line="300"/>
        <w:jc w:val="both"/>
      </w:pPr>
      <w:r>
        <w:t xml:space="preserve">Quién es responsable: EGA Owner.</w:t>
      </w:r>
    </w:p>
    <w:p>
      <w:pPr>
        <w:spacing w:after="120" w:line="300"/>
        <w:jc w:val="both"/>
      </w:pPr>
      <w:r>
        <w:t xml:space="preserve">Qué evidencia se genera: MET + TST.</w:t>
      </w:r>
    </w:p>
    <w:p>
      <w:pPr>
        <w:spacing w:after="120" w:line="300"/>
        <w:jc w:val="both"/>
      </w:pPr>
      <w:r>
        <w:t xml:space="preserve">Con qué frecuencia se valida: Continuous.</w:t>
      </w:r>
    </w:p>
    <w:p>
      <w:pPr>
        <w:pStyle w:val="Heading3"/>
      </w:pPr>
      <w:r>
        <w:t xml:space="preserve">EGA-C02 — HMAC Chain-of-Custody (NEW v11.4)</w:t>
      </w:r>
    </w:p>
    <w:p>
      <w:pPr>
        <w:spacing w:after="120" w:line="300"/>
        <w:jc w:val="both"/>
      </w:pPr>
      <w:r>
        <w:rPr>
          <w:b/>
          <w:bCs/>
        </w:rPr>
        <w:t xml:space="preserve">Subsistema: EGA.</w:t>
      </w:r>
    </w:p>
    <w:p>
      <w:pPr>
        <w:spacing w:after="120" w:line="300"/>
        <w:jc w:val="both"/>
      </w:pPr>
      <w:r>
        <w:t xml:space="preserve">Qué se implementa: EGA computes and verifies HMAC links between successive evidence entries for every agent stream.</w:t>
      </w:r>
    </w:p>
    <w:p>
      <w:pPr>
        <w:spacing w:after="120" w:line="300"/>
        <w:jc w:val="both"/>
      </w:pPr>
      <w:r>
        <w:t xml:space="preserve">Quién es responsable: EGA Owner / SecOps.</w:t>
      </w:r>
    </w:p>
    <w:p>
      <w:pPr>
        <w:spacing w:after="120" w:line="300"/>
        <w:jc w:val="both"/>
      </w:pPr>
      <w:r>
        <w:t xml:space="preserve">Qué evidencia se genera: MET.</w:t>
      </w:r>
    </w:p>
    <w:p>
      <w:pPr>
        <w:spacing w:after="120" w:line="300"/>
        <w:jc w:val="both"/>
      </w:pPr>
      <w:r>
        <w:t xml:space="preserve">Con qué frecuencia se valida: Continuous.</w:t>
      </w:r>
    </w:p>
    <w:p>
      <w:pPr>
        <w:pStyle w:val="Heading3"/>
      </w:pPr>
      <w:r>
        <w:t xml:space="preserve">EGA-C03 — Ledger Commit (NEW v11.4)</w:t>
      </w:r>
    </w:p>
    <w:p>
      <w:pPr>
        <w:spacing w:after="120" w:line="300"/>
        <w:jc w:val="both"/>
      </w:pPr>
      <w:r>
        <w:rPr>
          <w:b/>
          <w:bCs/>
        </w:rPr>
        <w:t xml:space="preserve">Subsistema: EGA.</w:t>
      </w:r>
    </w:p>
    <w:p>
      <w:pPr>
        <w:spacing w:after="120" w:line="300"/>
        <w:jc w:val="both"/>
      </w:pPr>
      <w:r>
        <w:t xml:space="preserve">Qué se implementa: EGA commits validated evidence to the HMAC ledger and confirms commit acknowledgement before releasing the calling control.</w:t>
      </w:r>
    </w:p>
    <w:p>
      <w:pPr>
        <w:spacing w:after="120" w:line="300"/>
        <w:jc w:val="both"/>
      </w:pPr>
      <w:r>
        <w:t xml:space="preserve">Quién es responsable: EGA Owner.</w:t>
      </w:r>
    </w:p>
    <w:p>
      <w:pPr>
        <w:spacing w:after="120" w:line="300"/>
        <w:jc w:val="both"/>
      </w:pPr>
      <w:r>
        <w:t xml:space="preserve">Qué evidencia se genera: LOG + MET.</w:t>
      </w:r>
    </w:p>
    <w:p>
      <w:pPr>
        <w:spacing w:after="120" w:line="300"/>
        <w:jc w:val="both"/>
      </w:pPr>
      <w:r>
        <w:t xml:space="preserve">Con qué frecuencia se valida: Continuous.</w:t>
      </w:r>
    </w:p>
    <w:p>
      <w:pPr>
        <w:pStyle w:val="Heading3"/>
      </w:pPr>
      <w:r>
        <w:t xml:space="preserve">EGA-C04 — Retention Tier Enforcement (NEW v11.4)</w:t>
      </w:r>
    </w:p>
    <w:p>
      <w:pPr>
        <w:spacing w:after="120" w:line="300"/>
        <w:jc w:val="both"/>
      </w:pPr>
      <w:r>
        <w:rPr>
          <w:b/>
          <w:bCs/>
        </w:rPr>
        <w:t xml:space="preserve">Subsistema: EGA.</w:t>
      </w:r>
    </w:p>
    <w:p>
      <w:pPr>
        <w:spacing w:after="120" w:line="300"/>
        <w:jc w:val="both"/>
      </w:pPr>
      <w:r>
        <w:t xml:space="preserve">Qué se implementa: EGA enforces the 3-tier jurisdiction-aware retention schedule (7 yr regulated / 3 yr enterprise / 1 yr dev).</w:t>
      </w:r>
    </w:p>
    <w:p>
      <w:pPr>
        <w:spacing w:after="120" w:line="300"/>
        <w:jc w:val="both"/>
      </w:pPr>
      <w:r>
        <w:t xml:space="preserve">Quién es responsable: EGA Owner / Compliance.</w:t>
      </w:r>
    </w:p>
    <w:p>
      <w:pPr>
        <w:spacing w:after="120" w:line="300"/>
        <w:jc w:val="both"/>
      </w:pPr>
      <w:r>
        <w:t xml:space="preserve">Qué evidencia se genera: MET + ATT.</w:t>
      </w:r>
    </w:p>
    <w:p>
      <w:pPr>
        <w:spacing w:after="120" w:line="300"/>
        <w:jc w:val="both"/>
      </w:pPr>
      <w:r>
        <w:t xml:space="preserve">Con qué frecuencia se valida: Continuous.</w:t>
      </w:r>
    </w:p>
    <w:p>
      <w:r>
        <w:br w:type="page"/>
      </w:r>
    </w:p>
    <w:p>
      <w:pPr>
        <w:pStyle w:val="Heading1"/>
      </w:pPr>
      <w:r>
        <w:t xml:space="preserve">5. Reconciliación con v11.1</w:t>
      </w:r>
    </w:p>
    <w:p>
      <w:pPr>
        <w:spacing w:after="120" w:line="300"/>
        <w:jc w:val="both"/>
      </w:pPr>
      <w:r>
        <w:t xml:space="preserve">El registro v11.1 contenía 47 controles informales sin estructura ARISE. La reconciliación a 36 controles formales se realizó en tres pasos: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Consolidación: 9 controles redundantes de v11.1 fueron fusionados en 4 controles formales (principalmente en ATK y AIBOM, donde el registro original duplicaba enforcement points y deployment-time checks).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Eliminación de aspiracionales: 7 controles del registro v11.1 que describían comportamiento futuro o intenciones de diseño sin implementación ejecutable fueron retirados del registro y, cuando aplicable, promovidos a items del backlog de roadmap.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Promoción y adición: 15 controles nuevos fueron añadidos como resultado directo de las nuevas componentes de v11.4 (AIM x3, EGA x4, AUT extensiones x3, ATK extensión x1, OPA extensión x1, D-TCG+ extensiones x3).</w:t>
      </w:r>
    </w:p>
    <w:p>
      <w:pPr>
        <w:spacing w:after="120" w:line="300"/>
        <w:jc w:val="both"/>
      </w:pPr>
      <w:r>
        <w:t xml:space="preserve">El resultado neto es un registro más pequeño pero exclusivamente compuesto por controles auditables, ejecutables, y mapeados al modelo ARISE. La trazabilidad completa entre el registro v11.1 y el v11.4 se documenta en el Remediation Traceability Matrix (TR-2026-034-R).</w:t>
      </w:r>
    </w:p>
    <w:p>
      <w:pPr>
        <w:pStyle w:val="Heading1"/>
      </w:pPr>
      <w:r>
        <w:t xml:space="preserve">6. Cobertura por Marco de Referencia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00"/>
        <w:gridCol w:w="45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Marco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Cobertura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Controles ARHIAX que aportan evidencia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ARISE (7 dominios)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7/7 (100%)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Todos los 36 (cada uno responde el modelo de 4 preguntas)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OWASP Agentic Top 10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8/10 full + 2/10 partial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DTG-C01..C05, ATK-C03, ATK-C04, AIM-C01..C03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CSA ATF (5 elementos)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5/5 (100%)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AIM-C01, BBR (DTG-C02), EGA-C01..C04, AUT-C02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Singapore MGF Agentic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4/4 (100%)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HIC-C01..C05, AUT-C01..C05, EGA-C04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NIST AI RMF + CSF 2.0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9/10 full + 1/10 partial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Cross-cutting; ver TR-2026-032 §6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spacing w:after="120" w:line="300"/>
        <w:jc w:val="center"/>
      </w:pPr>
      <w:r>
        <w:rPr>
          <w:i/>
          <w:iCs/>
        </w:rPr>
        <w:t xml:space="preserve">Fin del Documento — TR-2026-031-CR — Control Registry ARHIAX v11.4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680"/>
        <w:tab w:val="right" w:pos="9360"/>
      </w:tabs>
    </w:pPr>
    <w:r>
      <w:rPr>
        <w:color w:val="595959"/>
        <w:sz w:val="16"/>
        <w:szCs w:val="16"/>
      </w:rPr>
      <w:t xml:space="preserve">TR-2026-031-CR  •  ARHIAX v11.4  •  CONFIDENTIAL</w:t>
    </w:r>
    <w:r>
      <w:rPr>
        <w:color w:val="595959"/>
        <w:sz w:val="16"/>
        <w:szCs w:val="16"/>
      </w:rPr>
      <w:t xml:space="preserve">		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360"/>
      </w:tabs>
    </w:pPr>
    <w:r>
      <w:rPr>
        <w:b/>
        <w:bCs/>
        <w:color w:val="1F3864"/>
        <w:sz w:val="16"/>
        <w:szCs w:val="16"/>
      </w:rPr>
      <w:t xml:space="preserve">SINERGIA CONSULTING GROUP S.A.S.</w:t>
    </w:r>
    <w:r>
      <w:rPr>
        <w:color w:val="595959"/>
        <w:sz w:val="16"/>
        <w:szCs w:val="16"/>
      </w:rPr>
      <w:t xml:space="preserve">	36 Controles de Gobernanza Multi-Agente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75B6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Arial" w:cs="Arial" w:eastAsia="Arial" w:hAnsi="Arial"/>
      <w:b/>
      <w:bCs/>
      <w:i/>
      <w:i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36 Controles de Gobernanza Multi-Agente</dc:title>
  <dc:creator>Sinergia Consulting Group S.A.S.</dc:creator>
  <dc:description>ARHIAX v11.4 — 36 Controles de Gobernanza Multi-Agente</dc:description>
  <cp:lastModifiedBy>Un-named</cp:lastModifiedBy>
  <cp:revision>1</cp:revision>
  <dcterms:created xsi:type="dcterms:W3CDTF">2026-04-07T16:07:55.334Z</dcterms:created>
  <dcterms:modified xsi:type="dcterms:W3CDTF">2026-04-07T16:07:55.363Z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