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26"/>
          <w:szCs w:val="26"/>
        </w:rPr>
        <w:t xml:space="preserve">SINERGIA CONSULTING GROUP S.A.S.</w:t>
      </w:r>
    </w:p>
    <w:p>
      <w:pPr>
        <w:spacing w:after="600" w:before="120"/>
        <w:jc w:val="center"/>
      </w:pPr>
      <w:r>
        <w:rPr>
          <w:i/>
          <w:iCs/>
          <w:color w:val="595959"/>
          <w:sz w:val="20"/>
          <w:szCs w:val="20"/>
        </w:rPr>
        <w:t xml:space="preserve">Barranquilla • Bogotá • Colombia</w:t>
      </w:r>
    </w:p>
    <w:p>
      <w:pPr>
        <w:spacing w:before="400"/>
        <w:jc w:val="center"/>
      </w:pPr>
      <w:r>
        <w:rPr>
          <w:b/>
          <w:bCs/>
          <w:color w:val="1F3864"/>
          <w:sz w:val="72"/>
          <w:szCs w:val="72"/>
        </w:rPr>
        <w:t xml:space="preserve">ARHIAX</w:t>
      </w:r>
    </w:p>
    <w:p>
      <w:pPr>
        <w:spacing w:after="200" w:before="60"/>
        <w:jc w:val="center"/>
      </w:pPr>
      <w:r>
        <w:rPr>
          <w:i/>
          <w:iCs/>
          <w:color w:val="2E75B6"/>
          <w:sz w:val="22"/>
          <w:szCs w:val="22"/>
        </w:rPr>
        <w:t xml:space="preserve">Agentic Runtime for Human-in-Architecture</w:t>
      </w:r>
    </w:p>
    <w:p>
      <w:pPr>
        <w:spacing w:after="200" w:before="600"/>
        <w:jc w:val="center"/>
      </w:pPr>
      <w:r>
        <w:rPr>
          <w:b/>
          <w:bCs/>
          <w:color w:val="1F3864"/>
          <w:sz w:val="36"/>
          <w:szCs w:val="36"/>
        </w:rPr>
        <w:t xml:space="preserve">ATK Reference Implementation Profile</w:t>
      </w:r>
    </w:p>
    <w:p>
      <w:pPr>
        <w:spacing w:after="200"/>
        <w:jc w:val="center"/>
      </w:pPr>
      <w:r>
        <w:rPr>
          <w:color w:val="595959"/>
          <w:sz w:val="24"/>
          <w:szCs w:val="24"/>
        </w:rPr>
        <w:t xml:space="preserve">Agent Trust Kernel — Service Contract, Envelope, and Integration Hooks</w:t>
      </w:r>
    </w:p>
    <w:p>
      <w:pPr>
        <w:spacing w:after="800" w:before="400"/>
        <w:jc w:val="center"/>
      </w:pPr>
      <w:r>
        <w:rPr>
          <w:i/>
          <w:iCs/>
          <w:color w:val="2E75B6"/>
          <w:sz w:val="22"/>
          <w:szCs w:val="22"/>
        </w:rPr>
        <w:t xml:space="preserve">The synchronous enforcement core of the ARHIAX runtime.</w:t>
      </w:r>
    </w:p>
    <w:p>
      <w:pPr>
        <w:spacing w:before="1200"/>
        <w:jc w:val="center"/>
      </w:pPr>
      <w:r>
        <w:rPr>
          <w:b/>
          <w:bCs/>
          <w:color w:val="1F3864"/>
          <w:sz w:val="22"/>
          <w:szCs w:val="22"/>
        </w:rPr>
        <w:t xml:space="preserve">Document Reference: TR-2026-034-ATK</w:t>
      </w:r>
    </w:p>
    <w:p>
      <w:pPr>
        <w:spacing w:before="100"/>
        <w:jc w:val="center"/>
      </w:pPr>
      <w:r>
        <w:rPr>
          <w:sz w:val="20"/>
          <w:szCs w:val="20"/>
        </w:rPr>
        <w:t xml:space="preserve">Version: 11.4</w:t>
      </w:r>
    </w:p>
    <w:p>
      <w:pPr>
        <w:spacing w:before="60"/>
        <w:jc w:val="center"/>
      </w:pPr>
      <w:r>
        <w:rPr>
          <w:sz w:val="20"/>
          <w:szCs w:val="20"/>
        </w:rPr>
        <w:t xml:space="preserve">April 2026</w:t>
      </w:r>
    </w:p>
    <w:p>
      <w:pPr>
        <w:spacing w:before="60"/>
        <w:jc w:val="center"/>
      </w:pPr>
      <w:r>
        <w:rPr>
          <w:b/>
          <w:bCs/>
          <w:color w:val="C00000"/>
          <w:sz w:val="18"/>
          <w:szCs w:val="18"/>
        </w:rPr>
        <w:t xml:space="preserve">Classification: CONFIDENTIAL</w:t>
      </w:r>
    </w:p>
    <w:p>
      <w:pPr>
        <w:spacing w:before="1600"/>
        <w:jc w:val="center"/>
      </w:pPr>
      <w:r>
        <w:rPr>
          <w:color w:val="595959"/>
          <w:sz w:val="16"/>
          <w:szCs w:val="16"/>
        </w:rPr>
        <w:t xml:space="preserve">© 2026 Sinergia Consulting Group S.A.S. • All Rights Reserved</w:t>
      </w:r>
    </w:p>
    <w:p>
      <w:r>
        <w:br w:type="page"/>
      </w:r>
    </w:p>
    <w:p>
      <w:pPr>
        <w:pStyle w:val="Heading1"/>
      </w:pPr>
      <w:r>
        <w:t xml:space="preserve">1. Purpose</w:t>
      </w:r>
    </w:p>
    <w:p>
      <w:pPr>
        <w:spacing w:after="120" w:line="300"/>
        <w:jc w:val="both"/>
      </w:pPr>
      <w:r>
        <w:t xml:space="preserve">This document specifies the reference implementation profile for the ARHIAX Agent Trust Kernel (ATK), the synchronous enforcement core through which every governed agent invocation passes. It is the operational counterpart to the architectural description in TR-2026-034-A §4.2 and the source of truth for engineers implementing or integrating the ATK service. It supersedes the v11.1 ATK Reference Implementation Profile and reflects the v11.4 enhancements: AIM credential resolution hook (ATK-C01), EGA evidence emission hooks (ATK-C02 through ATK-C06), and configuration audit (ATK-C07).</w:t>
      </w:r>
    </w:p>
    <w:p>
      <w:pPr>
        <w:pStyle w:val="Heading1"/>
      </w:pPr>
      <w:r>
        <w:t xml:space="preserve">2. Service Contract</w:t>
      </w:r>
    </w:p>
    <w:p>
      <w:pPr>
        <w:spacing w:after="120" w:line="300"/>
        <w:jc w:val="both"/>
      </w:pPr>
      <w:r>
        <w:t xml:space="preserve">ATK is a stateless service exposed via a single OpenAPI-defined HTTP endpoint. It is horizontally scalable behind any standard load balancer. State that requires persistence (BBR baselines, AIM credentials, EGA ledger) is owned by other services and accessed by ATK over well-defined synchronous APIs.</w:t>
      </w:r>
    </w:p>
    <w:p>
      <w:pPr>
        <w:pStyle w:val="Heading2"/>
      </w:pPr>
      <w:r>
        <w:t xml:space="preserve">2.1 Endpoint</w:t>
      </w:r>
    </w:p>
    <w:p>
      <w:pPr>
        <w:spacing w:after="120" w:line="300"/>
        <w:jc w:val="both"/>
      </w:pPr>
      <w:r>
        <w:t xml:space="preserve">POST /v1/envelope/evaluate</w:t>
      </w:r>
    </w:p>
    <w:p>
      <w:pPr>
        <w:spacing w:after="120" w:line="300"/>
        <w:jc w:val="both"/>
      </w:pPr>
      <w:r>
        <w:t xml:space="preserve">Content-Type: application/json</w:t>
      </w:r>
    </w:p>
    <w:p>
      <w:pPr>
        <w:spacing w:after="120" w:line="300"/>
        <w:jc w:val="both"/>
      </w:pPr>
      <w:r>
        <w:t xml:space="preserve">Authentication: mTLS plus a deployment-scoped service token. ATK never accepts unauthenticated requests.</w:t>
      </w:r>
    </w:p>
    <w:p>
      <w:pPr>
        <w:pStyle w:val="Heading2"/>
      </w:pPr>
      <w:r>
        <w:t xml:space="preserve">2.2 Request Schema</w:t>
      </w:r>
    </w:p>
    <w:p>
      <w:pPr>
        <w:pStyle w:val="ListParagraph"/>
        <w:numPr>
          <w:ilvl w:val="0"/>
          <w:numId w:val="2"/>
        </w:numPr>
        <w:spacing w:after="80"/>
      </w:pPr>
      <w:r>
        <w:t xml:space="preserve">invocationId: string. Caller-generated UUID v4. Used for chain-of-custody linking.</w:t>
      </w:r>
    </w:p>
    <w:p>
      <w:pPr>
        <w:pStyle w:val="ListParagraph"/>
        <w:numPr>
          <w:ilvl w:val="0"/>
          <w:numId w:val="2"/>
        </w:numPr>
        <w:spacing w:after="80"/>
      </w:pPr>
      <w:r>
        <w:t xml:space="preserve">agentId: string. AIM-issued agent identifier (must resolve in AIM).</w:t>
      </w:r>
    </w:p>
    <w:p>
      <w:pPr>
        <w:pStyle w:val="ListParagraph"/>
        <w:numPr>
          <w:ilvl w:val="0"/>
          <w:numId w:val="2"/>
        </w:numPr>
        <w:spacing w:after="80"/>
      </w:pPr>
      <w:r>
        <w:t xml:space="preserve">operationType: enum. One of {modelInvoke, toolCall, dataAccess, interAgentCall}.</w:t>
      </w:r>
    </w:p>
    <w:p>
      <w:pPr>
        <w:pStyle w:val="ListParagraph"/>
        <w:numPr>
          <w:ilvl w:val="0"/>
          <w:numId w:val="2"/>
        </w:numPr>
        <w:spacing w:after="80"/>
      </w:pPr>
      <w:r>
        <w:t xml:space="preserve">input: object. Operation-specific payload. For modelInvoke this is the prompt envelope; for toolCall it is {toolName, toolArguments}; etc.</w:t>
      </w:r>
    </w:p>
    <w:p>
      <w:pPr>
        <w:pStyle w:val="ListParagraph"/>
        <w:numPr>
          <w:ilvl w:val="0"/>
          <w:numId w:val="2"/>
        </w:numPr>
        <w:spacing w:after="80"/>
      </w:pPr>
      <w:r>
        <w:t xml:space="preserve">contextChain: array. References to upstream invocationIds in the current agent execution chain.</w:t>
      </w:r>
    </w:p>
    <w:p>
      <w:pPr>
        <w:pStyle w:val="ListParagraph"/>
        <w:numPr>
          <w:ilvl w:val="0"/>
          <w:numId w:val="2"/>
        </w:numPr>
        <w:spacing w:after="80"/>
      </w:pPr>
      <w:r>
        <w:t xml:space="preserve">requestedAutonomyLevel: enum. One of {A0, A1, A2, A3, A4}. ATK validates this against the AIM credential and the AUT registry.</w:t>
      </w:r>
    </w:p>
    <w:p>
      <w:pPr>
        <w:pStyle w:val="Heading2"/>
      </w:pPr>
      <w:r>
        <w:t xml:space="preserve">2.3 Response Schema</w:t>
      </w:r>
    </w:p>
    <w:p>
      <w:pPr>
        <w:pStyle w:val="ListParagraph"/>
        <w:numPr>
          <w:ilvl w:val="0"/>
          <w:numId w:val="2"/>
        </w:numPr>
        <w:spacing w:after="80"/>
      </w:pPr>
      <w:r>
        <w:t xml:space="preserve">decisionOutcome: enum. One of {ALLOW, ALLOW_WITH_MONITORING, ALLOW_WITH_HIC_NOTIFICATION, DENY, DENY_WITH_INCIDENT, ESCALATE_TO_HUMAN}.</w:t>
      </w:r>
    </w:p>
    <w:p>
      <w:pPr>
        <w:pStyle w:val="ListParagraph"/>
        <w:numPr>
          <w:ilvl w:val="0"/>
          <w:numId w:val="2"/>
        </w:numPr>
        <w:spacing w:after="80"/>
      </w:pPr>
      <w:r>
        <w:t xml:space="preserve">decisionId: string. ATK-generated UUID for traceability. Linked into the EGA ledger.</w:t>
      </w:r>
    </w:p>
    <w:p>
      <w:pPr>
        <w:pStyle w:val="ListParagraph"/>
        <w:numPr>
          <w:ilvl w:val="0"/>
          <w:numId w:val="2"/>
        </w:numPr>
        <w:spacing w:after="80"/>
      </w:pPr>
      <w:r>
        <w:t xml:space="preserve">policyDecisions: array. The OPA decision IDs that fed into the outcome (one per evaluated bundle).</w:t>
      </w:r>
    </w:p>
    <w:p>
      <w:pPr>
        <w:pStyle w:val="ListParagraph"/>
        <w:numPr>
          <w:ilvl w:val="0"/>
          <w:numId w:val="2"/>
        </w:numPr>
        <w:spacing w:after="80"/>
      </w:pPr>
      <w:r>
        <w:t xml:space="preserve">baselineDeviation: number. The CLAS contribution from BBR for this invocation (0.0 to 1.0).</w:t>
      </w:r>
    </w:p>
    <w:p>
      <w:pPr>
        <w:pStyle w:val="ListParagraph"/>
        <w:numPr>
          <w:ilvl w:val="0"/>
          <w:numId w:val="2"/>
        </w:numPr>
        <w:spacing w:after="80"/>
      </w:pPr>
      <w:r>
        <w:t xml:space="preserve">evidenceRefs: array. References to the evidence entries emitted to EGA as a result of this evaluation.</w:t>
      </w:r>
    </w:p>
    <w:p>
      <w:pPr>
        <w:pStyle w:val="ListParagraph"/>
        <w:numPr>
          <w:ilvl w:val="0"/>
          <w:numId w:val="2"/>
        </w:numPr>
        <w:spacing w:after="80"/>
      </w:pPr>
      <w:r>
        <w:t xml:space="preserve">denialReason: string (only on DENY/DENY_WITH_INCIDENT). Structured reason code for downstream handling.</w:t>
      </w:r>
    </w:p>
    <w:p>
      <w:pPr>
        <w:pStyle w:val="ListParagraph"/>
        <w:numPr>
          <w:ilvl w:val="0"/>
          <w:numId w:val="2"/>
        </w:numPr>
        <w:spacing w:after="80"/>
      </w:pPr>
      <w:r>
        <w:t xml:space="preserve">hicTicketId: string (only on ALLOW_WITH_HIC_NOTIFICATION or ESCALATE_TO_HUMAN). Reference to the HIC checkpoint instance.</w:t>
      </w:r>
    </w:p>
    <w:p>
      <w:pPr>
        <w:pStyle w:val="Heading1"/>
      </w:pPr>
      <w:r>
        <w:t xml:space="preserve">3. The Five-Check Envelope</w:t>
      </w:r>
    </w:p>
    <w:p>
      <w:pPr>
        <w:spacing w:after="120" w:line="300"/>
        <w:jc w:val="both"/>
      </w:pPr>
      <w:r>
        <w:t xml:space="preserve">Every invocation traverses the five-check envelope sequentially. A failure at any check terminates the envelope and produces a DENY or ESCALATE outcome. Successful checks accumulate context that is passed to subsequent checks.</w:t>
      </w:r>
    </w:p>
    <w:p>
      <w:pPr>
        <w:pStyle w:val="Heading2"/>
      </w:pPr>
      <w:r>
        <w:t xml:space="preserve">3.1 Check 1 — Identity Resolution (ATK-C01)</w:t>
      </w:r>
    </w:p>
    <w:p>
      <w:pPr>
        <w:spacing w:after="120" w:line="300"/>
        <w:jc w:val="both"/>
      </w:pPr>
      <w:r>
        <w:t xml:space="preserve">ATK calls AIM to resolve the agentId into a full credential. The credential must be in lifecycle state ACTIVE. The 4-layer composite identity chain (Agent → Supervisor → Department → Authorization Boundary) is loaded into the envelope context for downstream checks. On failure: DENY with reason IDENTITY_NOT_RESOLVED or IDENTITY_NOT_ACTIVE.</w:t>
      </w:r>
    </w:p>
    <w:p>
      <w:pPr>
        <w:pStyle w:val="Heading2"/>
      </w:pPr>
      <w:r>
        <w:t xml:space="preserve">3.2 Check 2 — Authorization Evaluation (ATK-C02)</w:t>
      </w:r>
    </w:p>
    <w:p>
      <w:pPr>
        <w:spacing w:after="120" w:line="300"/>
        <w:jc w:val="both"/>
      </w:pPr>
      <w:r>
        <w:t xml:space="preserve">ATK invokes the OPA/Rego decision service with the envelope context. The runtime bundles applicable to operationType are evaluated (B01 through B13 for runtime operations; B14 through B16 for identity-scoped checks; B17 through B19 do not run on the synchronous path). The decision service returns a deny if any rule denies. On failure: DENY with the structured reason from the OPA decision.</w:t>
      </w:r>
    </w:p>
    <w:p>
      <w:pPr>
        <w:pStyle w:val="Heading2"/>
      </w:pPr>
      <w:r>
        <w:t xml:space="preserve">3.3 Check 3 — Prompt and Output Inspection (ATK-C03 / ATK-C04)</w:t>
      </w:r>
    </w:p>
    <w:p>
      <w:pPr>
        <w:spacing w:after="120" w:line="300"/>
        <w:jc w:val="both"/>
      </w:pPr>
      <w:r>
        <w:t xml:space="preserve">For modelInvoke operations, ATK inspects the prompt envelope on ingress and the model output on egress. Inspection uses heuristic policies in bundles B05 (prompt) and B06 (output), augmented with deployment-specific classifiers when configured. On failure: DENY_WITH_INCIDENT with reason PROMPT_INJECTION_DETECTED or OUTPUT_SAFETY_FAILED.</w:t>
      </w:r>
    </w:p>
    <w:p>
      <w:pPr>
        <w:pStyle w:val="Heading2"/>
      </w:pPr>
      <w:r>
        <w:t xml:space="preserve">3.4 Check 4 — Behavioral Baseline (ATK-C05)</w:t>
      </w:r>
    </w:p>
    <w:p>
      <w:pPr>
        <w:spacing w:after="120" w:line="300"/>
        <w:jc w:val="both"/>
      </w:pPr>
      <w:r>
        <w:t xml:space="preserve">ATK queries BBR for the calling agent's baseline. BBR returns the per-agent 11-field baseline plus the deviation threshold for the current autonomy level (2.0σ at A1 ramping to 3.5σ at A4). ATK computes the deviation score for this invocation against the baseline. If the deviation exceeds the threshold, the envelope outcome is escalated by one severity tier (ALLOW becomes ALLOW_WITH_MONITORING; ALLOW_WITH_MONITORING becomes ALLOW_WITH_HIC_NOTIFICATION; ALLOW_WITH_HIC_NOTIFICATION becomes ESCALATE_TO_HUMAN).</w:t>
      </w:r>
    </w:p>
    <w:p>
      <w:pPr>
        <w:pStyle w:val="Heading2"/>
      </w:pPr>
      <w:r>
        <w:t xml:space="preserve">3.5 Check 5 — Autonomy Gate Evaluation (ATK-C06)</w:t>
      </w:r>
    </w:p>
    <w:p>
      <w:pPr>
        <w:spacing w:after="120" w:line="300"/>
        <w:jc w:val="both"/>
      </w:pPr>
      <w:r>
        <w:t xml:space="preserve">ATK evaluates the requestedAutonomyLevel against the AIM credential and the AUT registry. If the operation is flagged as high-impact by AUT, ATK routes to HIC-C02 (High-Impact Decision Gate) and returns ALLOW_WITH_HIC_NOTIFICATION. If the operation requests an autonomy level above the agent's current AUT level, ATK denies with reason AUTONOMY_OVER_REQUEST.</w:t>
      </w:r>
    </w:p>
    <w:p>
      <w:pPr>
        <w:pStyle w:val="Heading1"/>
      </w:pPr>
      <w:r>
        <w:t xml:space="preserve">4. Evidence Emission Hooks</w:t>
      </w:r>
    </w:p>
    <w:p>
      <w:pPr>
        <w:spacing w:after="120" w:line="300"/>
        <w:jc w:val="both"/>
      </w:pPr>
      <w:r>
        <w:t xml:space="preserve">ATK emits evidence to EGA at five points in the envelope. Emission is synchronous to the EGA service but asynchronous to the calling agent: ATK does not block on EGA durable commit, but it does require an EGA acknowledgement before returning the envelope outcome.</w:t>
      </w:r>
    </w:p>
    <w:p>
      <w:pPr>
        <w:pStyle w:val="ListParagraph"/>
        <w:numPr>
          <w:ilvl w:val="0"/>
          <w:numId w:val="2"/>
        </w:numPr>
        <w:spacing w:after="80"/>
      </w:pPr>
      <w:r>
        <w:t xml:space="preserve">On envelope start: a LOG entry with invocationId, agentId, operationType, contextChain, requestedAutonomyLevel.</w:t>
      </w:r>
    </w:p>
    <w:p>
      <w:pPr>
        <w:pStyle w:val="ListParagraph"/>
        <w:numPr>
          <w:ilvl w:val="0"/>
          <w:numId w:val="2"/>
        </w:numPr>
        <w:spacing w:after="80"/>
      </w:pPr>
      <w:r>
        <w:t xml:space="preserve">On AIM resolution: a LOG entry with the resolved identity chain (PII handled per jurisdiction policy).</w:t>
      </w:r>
    </w:p>
    <w:p>
      <w:pPr>
        <w:pStyle w:val="ListParagraph"/>
        <w:numPr>
          <w:ilvl w:val="0"/>
          <w:numId w:val="2"/>
        </w:numPr>
        <w:spacing w:after="80"/>
      </w:pPr>
      <w:r>
        <w:t xml:space="preserve">On OPA decision: a LOG entry with the policyDecisions array and the bundle versions that ran.</w:t>
      </w:r>
    </w:p>
    <w:p>
      <w:pPr>
        <w:pStyle w:val="ListParagraph"/>
        <w:numPr>
          <w:ilvl w:val="0"/>
          <w:numId w:val="2"/>
        </w:numPr>
        <w:spacing w:after="80"/>
      </w:pPr>
      <w:r>
        <w:t xml:space="preserve">On baseline check: a MET entry with the deviation score and the threshold.</w:t>
      </w:r>
    </w:p>
    <w:p>
      <w:pPr>
        <w:pStyle w:val="ListParagraph"/>
        <w:numPr>
          <w:ilvl w:val="0"/>
          <w:numId w:val="2"/>
        </w:numPr>
        <w:spacing w:after="80"/>
      </w:pPr>
      <w:r>
        <w:t xml:space="preserve">On envelope end: a LOG entry with the final decisionOutcome, the duration, and references to all evidence entries emitted during this envelope (closing the chain-of-custody).</w:t>
      </w:r>
    </w:p>
    <w:p>
      <w:pPr>
        <w:pStyle w:val="Heading1"/>
      </w:pPr>
      <w:r>
        <w:t xml:space="preserve">5. Configuration Audit (ATK-C07, NEW in v11.4)</w:t>
      </w:r>
    </w:p>
    <w:p>
      <w:pPr>
        <w:spacing w:after="120" w:line="300"/>
        <w:jc w:val="both"/>
      </w:pPr>
      <w:r>
        <w:t xml:space="preserve">On startup and on hot-reload, ATK emits an ATT (attestation) evidence entry to EGA documenting its full runtime configuration: the OPA bundle versions it is configured to call, the AIM service endpoint, the BBR service endpoint, the EGA service endpoint, the HIC service endpoint, the heuristic classifier versions, and the deployment-scoped service token reference (the token itself is never logged). This attestation is the foundation for the configuration drift detection used by SecOps.</w:t>
      </w:r>
    </w:p>
    <w:p>
      <w:pPr>
        <w:pStyle w:val="Heading1"/>
      </w:pPr>
      <w:r>
        <w:t xml:space="preserve">6. Performance and SLOs</w:t>
      </w:r>
    </w:p>
    <w:p>
      <w:pPr>
        <w:pStyle w:val="ListParagraph"/>
        <w:numPr>
          <w:ilvl w:val="0"/>
          <w:numId w:val="2"/>
        </w:numPr>
        <w:spacing w:after="80"/>
      </w:pPr>
      <w:r>
        <w:t xml:space="preserve">End-to-end ATK envelope latency: P50 less than 25 ms, P99 less than 80 ms (target). Excludes HIC routing on ALLOW_WITH_HIC_NOTIFICATION outcomes (HIC is asynchronous to the caller from a latency perspective).</w:t>
      </w:r>
    </w:p>
    <w:p>
      <w:pPr>
        <w:pStyle w:val="ListParagraph"/>
        <w:numPr>
          <w:ilvl w:val="0"/>
          <w:numId w:val="2"/>
        </w:numPr>
        <w:spacing w:after="80"/>
      </w:pPr>
      <w:r>
        <w:t xml:space="preserve">OPA decision latency contribution: P99 less than 50 ms across all runtime bundles invoked in the envelope.</w:t>
      </w:r>
    </w:p>
    <w:p>
      <w:pPr>
        <w:pStyle w:val="ListParagraph"/>
        <w:numPr>
          <w:ilvl w:val="0"/>
          <w:numId w:val="2"/>
        </w:numPr>
        <w:spacing w:after="80"/>
      </w:pPr>
      <w:r>
        <w:t xml:space="preserve">BBR baseline lookup latency: P99 less than 10 ms (warm cache).</w:t>
      </w:r>
    </w:p>
    <w:p>
      <w:pPr>
        <w:pStyle w:val="ListParagraph"/>
        <w:numPr>
          <w:ilvl w:val="0"/>
          <w:numId w:val="2"/>
        </w:numPr>
        <w:spacing w:after="80"/>
      </w:pPr>
      <w:r>
        <w:t xml:space="preserve">AIM credential resolution latency: P99 less than 15 ms (warm cache).</w:t>
      </w:r>
    </w:p>
    <w:p>
      <w:pPr>
        <w:pStyle w:val="ListParagraph"/>
        <w:numPr>
          <w:ilvl w:val="0"/>
          <w:numId w:val="2"/>
        </w:numPr>
        <w:spacing w:after="80"/>
      </w:pPr>
      <w:r>
        <w:t xml:space="preserve">EGA acknowledgement latency: P99 less than 20 ms (durable queue acknowledgement, not full ledger commit).</w:t>
      </w:r>
    </w:p>
    <w:p>
      <w:pPr>
        <w:pStyle w:val="ListParagraph"/>
        <w:numPr>
          <w:ilvl w:val="0"/>
          <w:numId w:val="2"/>
        </w:numPr>
        <w:spacing w:after="80"/>
      </w:pPr>
      <w:r>
        <w:t xml:space="preserve">Throughput per ATK pod: target 500 envelopes per second sustained on a 4 vCPU / 8 GiB pod under reference workload.</w:t>
      </w:r>
    </w:p>
    <w:p>
      <w:pPr>
        <w:pStyle w:val="Heading1"/>
      </w:pPr>
      <w:r>
        <w:t xml:space="preserve">7. Failure Modes and Degraded Operation</w:t>
      </w:r>
    </w:p>
    <w:p>
      <w:pPr>
        <w:spacing w:after="120" w:line="300"/>
        <w:jc w:val="both"/>
      </w:pPr>
      <w:r>
        <w:t xml:space="preserve">ATK is designed to fail safely: when a downstream dependency is unavailable, ATK denies the envelope rather than allowing it. The specific behaviors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Dependency Failure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ATK Behavior</w:t>
            </w:r>
          </w:p>
        </w:tc>
        <w:tc>
          <w:tcPr>
            <w:tcW w:type="dxa" w:w="3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Decision Outcome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AIM unavailable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Fail closed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DENY (IDENTITY_RESOLUTION_UNAVAILABLE)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OPA unavailable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Fail closed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DENY (POLICY_ENGINE_UNAVAILABLE)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BBR unavailable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Fail open with 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ALLOW_WITH_MONITORING (BASELINE_CHECK_SKIPPED)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 registry unavailable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Fail closed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DENY (AUTONOMY_REGISTRY_UNAVAILABLE)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EGA unavailable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Fail closed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DENY (EVIDENCE_EMISSION_UNAVAILABLE)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HIC unavailable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Fail closed for HIC outcomes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DENY (HIC_UNAVAILABLE) on outcomes that require HIC</w:t>
            </w:r>
          </w:p>
        </w:tc>
      </w:tr>
    </w:tbl>
    <w:p>
      <w:pPr>
        <w:spacing w:after="120" w:line="300"/>
        <w:jc w:val="both"/>
      </w:pPr>
      <w:r>
        <w:t xml:space="preserve">BBR is the only soft-failure dependency: a missing BBR check produces an ALLOW_WITH_MONITORING outcome rather than a hard deny, on the rationale that fresh deployments may not yet have a baseline. All other dependencies are hard requirements.</w:t>
      </w:r>
    </w:p>
    <w:p>
      <w:pPr>
        <w:pStyle w:val="Heading1"/>
      </w:pPr>
      <w:r>
        <w:t xml:space="preserve">8. Integration Reference Code</w:t>
      </w:r>
    </w:p>
    <w:p>
      <w:pPr>
        <w:spacing w:after="120" w:line="300"/>
        <w:jc w:val="both"/>
      </w:pPr>
      <w:r>
        <w:t xml:space="preserve">A reference Python implementation of the ATK service contract (arhia_atk_service.py), an MCP interceptor (mcp_interceptor.py), and a Dockerfile are provided in the ARHIAX runtime package alongside this document. The reference implementation is intentionally minimal: it focuses on the contract surface and the envelope sequencing, and delegates each downstream call to a pluggable client interface. Production deployments should subclass the reference clients and replace them with hardened implementations.</w:t>
      </w:r>
    </w:p>
    <w:p>
      <w:pPr>
        <w:spacing w:after="120" w:line="300"/>
        <w:jc w:val="both"/>
      </w:pPr>
      <w:r>
        <w:t xml:space="preserve"/>
      </w:r>
    </w:p>
    <w:p>
      <w:pPr>
        <w:spacing w:after="120" w:line="300"/>
        <w:jc w:val="center"/>
      </w:pPr>
      <w:r>
        <w:rPr>
          <w:i/>
          <w:iCs/>
        </w:rPr>
        <w:t xml:space="preserve">Fin del Documento — TR-2026-034-ATK — ARHIAX v11.4 ATK Reference Implementation 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6"/>
        <w:szCs w:val="16"/>
      </w:rPr>
      <w:t xml:space="preserve">TR-2026-034-ATK  •  ARHIAX v11.4  •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1F3864"/>
        <w:sz w:val="16"/>
        <w:szCs w:val="16"/>
      </w:rPr>
      <w:t xml:space="preserve">SINERGIA CONSULTING GROUP S.A.S.</w:t>
    </w:r>
    <w:r>
      <w:rPr>
        <w:color w:val="595959"/>
        <w:sz w:val="16"/>
        <w:szCs w:val="16"/>
      </w:rPr>
      <w:t xml:space="preserve">	ATK Reference Implementation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ATK Reference Implementation Profile</dc:title>
  <dc:creator>Sinergia Consulting Group S.A.S.</dc:creator>
  <dc:description>ARHIAX v11.4 — ATK Reference Implementation Profile</dc:description>
  <cp:lastModifiedBy>Un-named</cp:lastModifiedBy>
  <cp:revision>1</cp:revision>
  <dcterms:created xsi:type="dcterms:W3CDTF">2026-04-07T16:07:56.618Z</dcterms:created>
  <dcterms:modified xsi:type="dcterms:W3CDTF">2026-04-07T16:07:56.619Z</dcterms:modified>
</cp:coreProperties>
</file>

<file path=docProps/custom.xml><?xml version="1.0" encoding="utf-8"?>
<Properties xmlns="http://schemas.openxmlformats.org/officeDocument/2006/custom-properties" xmlns:vt="http://schemas.openxmlformats.org/officeDocument/2006/docPropsVTypes"/>
</file>