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864"/>
          <w:sz w:val="26"/>
          <w:szCs w:val="26"/>
        </w:rPr>
        <w:t xml:space="preserve">SINERGIA CONSULTING GROUP S.A.S.</w:t>
      </w:r>
    </w:p>
    <w:p>
      <w:pPr>
        <w:spacing w:after="600" w:before="120"/>
        <w:jc w:val="center"/>
      </w:pPr>
      <w:r>
        <w:rPr>
          <w:i/>
          <w:iCs/>
          <w:color w:val="595959"/>
          <w:sz w:val="20"/>
          <w:szCs w:val="20"/>
        </w:rPr>
        <w:t xml:space="preserve">Barranquilla • Bogotá • Colombia</w:t>
      </w:r>
    </w:p>
    <w:p>
      <w:pPr>
        <w:spacing w:before="400"/>
        <w:jc w:val="center"/>
      </w:pPr>
      <w:r>
        <w:rPr>
          <w:b/>
          <w:bCs/>
          <w:color w:val="1F3864"/>
          <w:sz w:val="72"/>
          <w:szCs w:val="72"/>
        </w:rPr>
        <w:t xml:space="preserve">ARHIAX</w:t>
      </w:r>
    </w:p>
    <w:p>
      <w:pPr>
        <w:spacing w:after="200" w:before="60"/>
        <w:jc w:val="center"/>
      </w:pPr>
      <w:r>
        <w:rPr>
          <w:i/>
          <w:iCs/>
          <w:color w:val="2E75B6"/>
          <w:sz w:val="22"/>
          <w:szCs w:val="22"/>
        </w:rPr>
        <w:t xml:space="preserve">Agentic Runtime for Human-in-Architecture</w:t>
      </w:r>
    </w:p>
    <w:p>
      <w:pPr>
        <w:spacing w:after="200" w:before="600"/>
        <w:jc w:val="center"/>
      </w:pPr>
      <w:r>
        <w:rPr>
          <w:b/>
          <w:bCs/>
          <w:color w:val="1F3864"/>
          <w:sz w:val="36"/>
          <w:szCs w:val="36"/>
        </w:rPr>
        <w:t xml:space="preserve">Annex Compendium</w:t>
      </w:r>
    </w:p>
    <w:p>
      <w:pPr>
        <w:spacing w:after="200"/>
        <w:jc w:val="center"/>
      </w:pPr>
      <w:r>
        <w:rPr>
          <w:color w:val="595959"/>
          <w:sz w:val="24"/>
          <w:szCs w:val="24"/>
        </w:rPr>
        <w:t xml:space="preserve">Technical Annexes — Schemas, Bundles, Crosswalks, Playbooks</w:t>
      </w:r>
    </w:p>
    <w:p>
      <w:pPr>
        <w:spacing w:after="800" w:before="400"/>
        <w:jc w:val="center"/>
      </w:pPr>
      <w:r>
        <w:rPr>
          <w:i/>
          <w:iCs/>
          <w:color w:val="2E75B6"/>
          <w:sz w:val="22"/>
          <w:szCs w:val="22"/>
        </w:rPr>
        <w:t xml:space="preserve">The complete reference companion to the v11.4 Master Specification.</w:t>
      </w:r>
    </w:p>
    <w:p>
      <w:pPr>
        <w:spacing w:before="1200"/>
        <w:jc w:val="center"/>
      </w:pPr>
      <w:r>
        <w:rPr>
          <w:b/>
          <w:bCs/>
          <w:color w:val="1F3864"/>
          <w:sz w:val="22"/>
          <w:szCs w:val="22"/>
        </w:rPr>
        <w:t xml:space="preserve">Document Reference: TR-2026-034-AC</w:t>
      </w:r>
    </w:p>
    <w:p>
      <w:pPr>
        <w:spacing w:before="100"/>
        <w:jc w:val="center"/>
      </w:pPr>
      <w:r>
        <w:rPr>
          <w:sz w:val="20"/>
          <w:szCs w:val="20"/>
        </w:rPr>
        <w:t xml:space="preserve">Version: 11.4</w:t>
      </w:r>
    </w:p>
    <w:p>
      <w:pPr>
        <w:spacing w:before="60"/>
        <w:jc w:val="center"/>
      </w:pPr>
      <w:r>
        <w:rPr>
          <w:sz w:val="20"/>
          <w:szCs w:val="20"/>
        </w:rPr>
        <w:t xml:space="preserve">April 2026</w:t>
      </w:r>
    </w:p>
    <w:p>
      <w:pPr>
        <w:spacing w:before="60"/>
        <w:jc w:val="center"/>
      </w:pPr>
      <w:r>
        <w:rPr>
          <w:b/>
          <w:bCs/>
          <w:color w:val="C00000"/>
          <w:sz w:val="18"/>
          <w:szCs w:val="18"/>
        </w:rPr>
        <w:t xml:space="preserve">Classification: CONFIDENTIAL</w:t>
      </w:r>
    </w:p>
    <w:p>
      <w:pPr>
        <w:spacing w:before="1600"/>
        <w:jc w:val="center"/>
      </w:pPr>
      <w:r>
        <w:rPr>
          <w:color w:val="595959"/>
          <w:sz w:val="16"/>
          <w:szCs w:val="16"/>
        </w:rPr>
        <w:t xml:space="preserve">© 2026 Sinergia Consulting Group S.A.S. • All Rights Reserved</w:t>
      </w:r>
    </w:p>
    <w:p>
      <w:r>
        <w:br w:type="page"/>
      </w:r>
    </w:p>
    <w:p>
      <w:pPr>
        <w:pStyle w:val="Heading1"/>
      </w:pPr>
      <w:r>
        <w:t xml:space="preserve">Compendium Index</w:t>
      </w:r>
    </w:p>
    <w:p>
      <w:pPr>
        <w:spacing w:after="120" w:line="300"/>
        <w:jc w:val="both"/>
      </w:pPr>
      <w:r>
        <w:t xml:space="preserve">This compendium consolidates the technical annexes that support the ARHIAX v11.4 Master Specification (TR-2026-034). Each annex is a self-contained reference. Annexes A through D are normative; Annexes E through H are informative.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500"/>
        <w:gridCol w:w="2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 Registry — Full Schema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Normative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TR-2026-031 §1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Evidence Generation Architecture — JSON-LD Schemas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Normative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TR-2026-031 §2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OPA/Rego Bundle Catalog (B01-B19)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Normative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TR-2026-033 §4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D-TCG+ v2 Correlation Rules Catalog (CR-01..CR-10)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Normative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TR-2026-033 §1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OWASP ASI Playbook Library (PB-01..PB-10)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Informative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TR-2026-033 §3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Maturity Model Harmonization Matrix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Informative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TR-2026-031 §3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Framework Crosswalks Master Matrix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Informative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TR-2026-032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Glossary and Acronyms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Informative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 document</w:t>
            </w:r>
          </w:p>
        </w:tc>
      </w:tr>
    </w:tbl>
    <w:p>
      <w:pPr>
        <w:pStyle w:val="Heading1"/>
      </w:pPr>
      <w:r>
        <w:t xml:space="preserve">Annex A — Control Registry Full Schema</w:t>
      </w:r>
    </w:p>
    <w:p>
      <w:pPr>
        <w:spacing w:after="120" w:line="300"/>
        <w:jc w:val="both"/>
      </w:pPr>
      <w:r>
        <w:t xml:space="preserve">Each entry in the Control Registry conforms to the following 11-field schema. The schema is defined in JSON Schema and exported as a machine-readable artifact alongside this document.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controlId: string. Pattern: [A-Z]{3}-C[0-9]{2}. Example: ATK-C01.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subsystem: enum. One of {ATK, AIM, ABO, HIC, AUT, OPA, DTG, EGA}.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name: string. Human-readable control name.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ariseImplementation: string. Answers ARISE Q1 (What is implemented?).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ariseOwnership: string. Answers ARISE Q2 (Who is responsible?). Free-form role.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ariseEvidenceType: enum. One of {LOG, ATT, MET, APR, TST}. Answers ARISE Q3.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ariseValidationFrequency: enum. One of {Continuous, Periodic, Per-event, Per-invocation, Per-deployment, Per-incident, Per-startup, Per-trigger, Per-promotion, Per-change, Per-release}. Answers ARISE Q4.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plane: enum. One of {Trust, Control}.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frameworkCrosswalks: object. Map of {arise, owaspAsi, csaAtf, singaporeMgf, nistAiRmf} → array of element references.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opaBundleRefs: array of strings. References to OPA bundle IDs (B01..B19) that implement this control.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evidenceSchemaRef: string. Reference to the JSON-LD schema in Annex B that this control's evidence conforms to.</w:t>
      </w:r>
    </w:p>
    <w:p>
      <w:pPr>
        <w:pStyle w:val="Heading1"/>
      </w:pPr>
      <w:r>
        <w:t xml:space="preserve">Annex B — Evidence Generation Architecture: JSON-LD Schemas</w:t>
      </w:r>
    </w:p>
    <w:p>
      <w:pPr>
        <w:spacing w:after="120" w:line="300"/>
        <w:jc w:val="both"/>
      </w:pPr>
      <w:r>
        <w:t xml:space="preserve">EGA defines five evidence types, each with its own JSON-LD schema. All five share the same base envelope (timestamp, agentId, controlId, hmacPrev, hmacCurrent, jurisdiction, retentionTier) and extend it with type-specific fields.</w:t>
      </w:r>
    </w:p>
    <w:p>
      <w:pPr>
        <w:pStyle w:val="Heading2"/>
      </w:pPr>
      <w:r>
        <w:t xml:space="preserve">B.1 LOG — Per-Invocation Runtime Records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event: enum. The runtime event class (atkInvocation, opaDecision, toolCall, dataAccess,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input: object. Sanitized input payload (PII redacted per jurisdiction policy).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output: object. Sanitized output payload.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decisionOutcome: enum. One of the six ATK envelope outcomes.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durationMs: number.</w:t>
      </w:r>
    </w:p>
    <w:p>
      <w:pPr>
        <w:pStyle w:val="Heading2"/>
      </w:pPr>
      <w:r>
        <w:t xml:space="preserve">B.2 ATT — Lifecycle Attestations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attestationType: enum. One of {agentDeploy, agentRetire, configReload, bundleRelease, baselineReset}.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subjectId: string. The subject of the attestation.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attesterIdentity: string. The signing identity (typically a service account).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payload: object. Type-specific attestation body.</w:t>
      </w:r>
    </w:p>
    <w:p>
      <w:pPr>
        <w:pStyle w:val="Heading2"/>
      </w:pPr>
      <w:r>
        <w:t xml:space="preserve">B.3 MET — Continuous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metricName: string.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metricValue: number.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metricUnit: string.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aggregationWindow: string. ISO 8601 duration.</w:t>
      </w:r>
    </w:p>
    <w:p>
      <w:pPr>
        <w:pStyle w:val="Heading2"/>
      </w:pPr>
      <w:r>
        <w:t xml:space="preserve">B.4 APR — Triggered Approvals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approvalGate: enum. The HIC checkpoint or AUT gate that triggered.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approverIdentity: string. The human reviewer.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decision: enum. One of {approved, denied, escalated}.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rationale: string.</w:t>
      </w:r>
    </w:p>
    <w:p>
      <w:pPr>
        <w:pStyle w:val="Heading2"/>
      </w:pPr>
      <w:r>
        <w:t xml:space="preserve">B.5 TST — Test Execution Records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testSuite: string.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testCase: string.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result: enum. One of {pass, fail, skip}.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artifacts: array. References to test output artifacts.</w:t>
      </w:r>
    </w:p>
    <w:p>
      <w:pPr>
        <w:pStyle w:val="Heading1"/>
      </w:pPr>
      <w:r>
        <w:t xml:space="preserve">Annex C — OPA/Rego Bundle Catalog</w:t>
      </w:r>
    </w:p>
    <w:p>
      <w:pPr>
        <w:spacing w:after="120" w:line="300"/>
        <w:jc w:val="both"/>
      </w:pPr>
      <w:r>
        <w:t xml:space="preserve">ARHIAX v11.4 ships 19 OPA/Rego policy bundles totaling approximately 2,037 lines of audited policy. The bundles are organized into three tiers: identity (B14-B16), runtime (B01-B13), and governance (B17-B19).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500"/>
        <w:gridCol w:w="1100"/>
        <w:gridCol w:w="27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Bundle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Title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Approx LoC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Primary Controls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 Allow-List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95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ATK-C02, DTG-C01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B02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 Argument Validation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ATK-C02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B03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Access Boundary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ATK-C02, AIM-C01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B04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Cross-Boundary Egress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85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DTG-C03, ATK-C02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B05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 Injection Heuristics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ATK-C03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B06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 Safety Heuristics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ATK-C04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B07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 Limit and Cost Cap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ATK-C02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B08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Secrets Reference Detection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ATK-C03, ATK-C04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B09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PII Redaction Enforcement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115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EGA-C04, ATK-C04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Inter-Agent Call Authorization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105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ATK-C02, AIM-C01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High-Impact Action Gate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HIC-C02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Geographic Boundary Enforcement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EGA-C04, ATK-C02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B13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 Sequence Validation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DTG-C01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Identity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AIM Credential Validation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AIM-C01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B15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Identity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AIM Lifecycle State Enforcement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AIM-C02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B16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Identity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Permission Scoping by Identity Chain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135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AIM-C01, ATK-C02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B17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Governance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D-TCG+ Correlation Enforcement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115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DTG-C03, DTG-C04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B18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Governance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EGA Evidence Validation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125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EGA-C01, EGA-C02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B19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Governance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Retention Compliance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97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EGA-C04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 bundles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~2,037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</w:pPr>
      <w:r>
        <w:t xml:space="preserve">Annex D — D-TCG+ v2 Correlation Rules Catalog</w:t>
      </w:r>
    </w:p>
    <w:p>
      <w:pPr>
        <w:spacing w:after="120" w:line="300"/>
        <w:jc w:val="both"/>
      </w:pPr>
      <w:r>
        <w:t xml:space="preserve">The Cross-Domain Correlator ships with 10 correlation rules mapped one-to-one against the OWASP Agentic Top 10. Each rule defines a cross-layer pattern over the four telemetry layers (L1 Network, L2 Prompt, L3 Tool Call, L4 Data Access) and a CLAS threshold.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660"/>
        <w:gridCol w:w="15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OWASP ASI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Cross-Layer Pattern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CLAS Threshold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CR-01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ASI-01 Goal Hijack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L2 goal drift + L3 unexpected sequence + L4 cross-boundary access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CR-02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ASI-02 Tool Misuse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L3 unauthorized tool + L1 unusual egress + L4 elevated volume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CR-03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ASI-03 Excessive Perms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L3 tool beyond scope + L4 credential scope violation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CR-04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ASI-04 Resource Overload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 burst egress + L3 high invocation rate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CR-05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ASI-05 Prompt Injection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L2 injection markers + L3 unexpected tool + L4 PII exfiltration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CR-06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ASI-06 Memory Poisoning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L3 anomalous read-modify-write + L4 baseline drift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CR-07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ASI-07 Multi-Agent Collusion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Cross-agent L3 patterns within window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CR-08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ASI-08 Identity Theft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L4 credential anomaly + L1 unusual source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CR-09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ASI-09 Output Manipulation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L2 output safety flag + L3 downstream tool effect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CR-10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ASI-10 Supply Chain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 manifest mismatch + L3 unexpected dependency call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0.75</w:t>
            </w:r>
          </w:p>
        </w:tc>
      </w:tr>
    </w:tbl>
    <w:p>
      <w:pPr>
        <w:pStyle w:val="Heading1"/>
      </w:pPr>
      <w:r>
        <w:t xml:space="preserve">Annex E — OWASP ASI Playbook Library</w:t>
      </w:r>
    </w:p>
    <w:p>
      <w:pPr>
        <w:spacing w:after="120" w:line="300"/>
        <w:jc w:val="both"/>
      </w:pPr>
      <w:r>
        <w:t xml:space="preserve">Each of the 10 OWASP ASI playbooks (PB-01..PB-10) follows the standard 6-phase incident response structure: Detection → Containment → Investigation → Remediation → Recovery → Lessons Learned. Playbooks are dispatched automatically by the Incident Playbook Mapper when a correlation rule fires above its CLAS threshold. Detailed playbook content is in TR-2026-033 §3.</w:t>
      </w:r>
    </w:p>
    <w:p>
      <w:pPr>
        <w:pStyle w:val="Heading1"/>
      </w:pPr>
      <w:r>
        <w:t xml:space="preserve">Annex F — Maturity Model Harmonization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300"/>
        <w:gridCol w:w="1700"/>
        <w:gridCol w:w="1500"/>
        <w:gridCol w:w="16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ARHIAX A-Level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CSA ATF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NVIDIA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KPMG TACO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McKinsey RAI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Singapore MGF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A0 — Observed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Tasker (low)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 1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Dim 1 (Initial)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A1 — Assisted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Junior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Tasker (mid)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 2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Dim 2 (Managed)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A2 — Conditional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Senior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L1-L2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Tasker (high)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 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Dim 2-3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A3 — Supervised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Orchestrator (low)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 4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Dim 3 (Defined)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A4 — Autonomous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Principal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Orchestrator (high)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 5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Dim 4 (Optimized)</w:t>
            </w:r>
          </w:p>
        </w:tc>
      </w:tr>
    </w:tbl>
    <w:p>
      <w:pPr>
        <w:pStyle w:val="Heading1"/>
      </w:pPr>
      <w:r>
        <w:t xml:space="preserve">Annex G — Framework Crosswalks Master Matrix</w:t>
      </w:r>
    </w:p>
    <w:p>
      <w:pPr>
        <w:spacing w:after="120" w:line="300"/>
        <w:jc w:val="both"/>
      </w:pPr>
      <w:r>
        <w:t xml:space="preserve">The complete framework crosswalks are documented in TR-2026-032. This annex summarizes the headline coverage figures.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Framework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Elements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Gaps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ARISE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(100%)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OWASP Agentic Top 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(80%)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(20%)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CSA ATF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(100%)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Singapore MGF Agentic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(100%)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NIST AI RMF + CSF 2.0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 (90%)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(10%)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</w:pPr>
      <w:r>
        <w:t xml:space="preserve">Annex H — Glossary and Acronyms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AIM — Agent Identity Module. New in v11.4.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AIBOM — AI Bill of Materials.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ARISE — Assessed Intelligence operationalization framework (7 domains).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ATK — Agent Trust Kernel.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 — Attestation evidence 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 — Autonomy Scale (A0-A4).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BBR — Behavioral Baseline Registry. New in v11.4.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CEF-ARHIA — Common Event Format used by D-TCG+ correlation pipeline.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 — Cross-Layer Anomaly Score. Computed by D-TCG+ v2.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 (control registry) — meta-component cataloging the 36 controls.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 (correlation rule) — D-TCG+ rule (CR-01..CR-10) mapped to OWASP Agentic Top 10.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CSA ATF — Cloud Security Alliance Agentic Trust Framework.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D-TCG+ — Defensive Tool Call Graph (extended). v2 in v11.4.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EGA — Evidence Generation Architecture. New in v11.4.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HIC — Human-in-Architecture Checkpoints.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IPM — Incident Playbook Mapper. New in v11.4.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/ ATT / MET / APR / TST — the five evidence types in EGA.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MFCE — Multi-Framework Crosswalk Engine. New in v11.4.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NHI — Non-Human Identity (AIM credential standard).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OPA — Open Policy Agent.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OWASP ASI — OWASP Agentic Security Initiative.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PB-01..PB-10 — the 10 OWASP ASI playbooks shipped with ARHIAX v11.4.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Singapore MGF — Singapore Model AI Governance Framework, Agentic Edition.</w:t>
      </w:r>
    </w:p>
    <w:p>
      <w:pPr>
        <w:spacing w:after="120" w:line="300"/>
        <w:jc w:val="both"/>
      </w:pPr>
      <w:r>
        <w:t xml:space="preserve"/>
      </w:r>
    </w:p>
    <w:p>
      <w:pPr>
        <w:spacing w:after="120" w:line="300"/>
        <w:jc w:val="center"/>
      </w:pPr>
      <w:r>
        <w:rPr>
          <w:i/>
          <w:iCs/>
        </w:rPr>
        <w:t xml:space="preserve">Fin del Documento — TR-2026-034-AC — ARHIAX v11.4 Annex Compendium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680"/>
        <w:tab w:val="right" w:pos="9360"/>
      </w:tabs>
    </w:pPr>
    <w:r>
      <w:rPr>
        <w:color w:val="595959"/>
        <w:sz w:val="16"/>
        <w:szCs w:val="16"/>
      </w:rPr>
      <w:t xml:space="preserve">TR-2026-034-AC  •  ARHIAX v11.4  •  CONFIDENTIAL</w:t>
    </w:r>
    <w:r>
      <w:rPr>
        <w:color w:val="595959"/>
        <w:sz w:val="16"/>
        <w:szCs w:val="16"/>
      </w:rPr>
      <w:t xml:space="preserve">	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</w:pPr>
    <w:r>
      <w:rPr>
        <w:b/>
        <w:bCs/>
        <w:color w:val="1F3864"/>
        <w:sz w:val="16"/>
        <w:szCs w:val="16"/>
      </w:rPr>
      <w:t xml:space="preserve">SINERGIA CONSULTING GROUP S.A.S.</w:t>
    </w:r>
    <w:r>
      <w:rPr>
        <w:color w:val="595959"/>
        <w:sz w:val="16"/>
        <w:szCs w:val="16"/>
      </w:rPr>
      <w:t xml:space="preserve">	Annex Compendium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i/>
      <w:i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Compendium</dc:title>
  <dc:creator>Sinergia Consulting Group S.A.S.</dc:creator>
  <dc:description>ARHIAX v11.4 — Annex Compendium</dc:description>
  <cp:lastModifiedBy>Un-named</cp:lastModifiedBy>
  <cp:revision>1</cp:revision>
  <dcterms:created xsi:type="dcterms:W3CDTF">2026-04-07T16:07:56.178Z</dcterms:created>
  <dcterms:modified xsi:type="dcterms:W3CDTF">2026-04-07T16:07:56.179Z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