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26"/>
          <w:szCs w:val="26"/>
        </w:rPr>
        <w:t xml:space="preserve">SINERGIA CONSULTING GROUP S.A.S.</w:t>
      </w:r>
    </w:p>
    <w:p>
      <w:pPr>
        <w:spacing w:after="600" w:before="120"/>
        <w:jc w:val="center"/>
      </w:pPr>
      <w:r>
        <w:rPr>
          <w:i/>
          <w:iCs/>
          <w:color w:val="595959"/>
          <w:sz w:val="20"/>
          <w:szCs w:val="20"/>
        </w:rPr>
        <w:t xml:space="preserve">Barranquilla • Bogotá • Colombia</w:t>
      </w:r>
    </w:p>
    <w:p>
      <w:pPr>
        <w:spacing w:before="400"/>
        <w:jc w:val="center"/>
      </w:pPr>
      <w:r>
        <w:rPr>
          <w:b/>
          <w:bCs/>
          <w:color w:val="1F3864"/>
          <w:sz w:val="72"/>
          <w:szCs w:val="72"/>
        </w:rPr>
        <w:t xml:space="preserve">ARHIAX</w:t>
      </w:r>
    </w:p>
    <w:p>
      <w:pPr>
        <w:spacing w:after="200" w:before="60"/>
        <w:jc w:val="center"/>
      </w:pPr>
      <w:r>
        <w:rPr>
          <w:i/>
          <w:iCs/>
          <w:color w:val="2E75B6"/>
          <w:sz w:val="22"/>
          <w:szCs w:val="22"/>
        </w:rPr>
        <w:t xml:space="preserve">Agentic Runtime for Human-in-Architecture</w:t>
      </w:r>
    </w:p>
    <w:p>
      <w:pPr>
        <w:spacing w:after="200" w:before="600"/>
        <w:jc w:val="center"/>
      </w:pPr>
      <w:r>
        <w:rPr>
          <w:b/>
          <w:bCs/>
          <w:color w:val="1F3864"/>
          <w:sz w:val="36"/>
          <w:szCs w:val="36"/>
        </w:rPr>
        <w:t xml:space="preserve">Hoja de Ruta — Ruta C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Camino de adopción acelerada para entornos regulados</w:t>
      </w:r>
    </w:p>
    <w:p>
      <w:pPr>
        <w:spacing w:after="800" w:before="400"/>
        <w:jc w:val="center"/>
      </w:pPr>
      <w:r>
        <w:rPr>
          <w:i/>
          <w:iCs/>
          <w:color w:val="2E75B6"/>
          <w:sz w:val="22"/>
          <w:szCs w:val="22"/>
        </w:rPr>
        <w:t xml:space="preserve">De gap analysis a producción auditada en 24 semanas.</w:t>
      </w:r>
    </w:p>
    <w:p>
      <w:pPr>
        <w:spacing w:before="1200"/>
        <w:jc w:val="center"/>
      </w:pPr>
      <w:r>
        <w:rPr>
          <w:b/>
          <w:bCs/>
          <w:color w:val="1F3864"/>
          <w:sz w:val="22"/>
          <w:szCs w:val="22"/>
        </w:rPr>
        <w:t xml:space="preserve">Document Reference: TR-2026-034-RC</w:t>
      </w:r>
    </w:p>
    <w:p>
      <w:pPr>
        <w:spacing w:before="100"/>
        <w:jc w:val="center"/>
      </w:pPr>
      <w:r>
        <w:rPr>
          <w:sz w:val="20"/>
          <w:szCs w:val="20"/>
        </w:rPr>
        <w:t xml:space="preserve">Version: 11.4</w:t>
      </w:r>
    </w:p>
    <w:p>
      <w:pPr>
        <w:spacing w:before="60"/>
        <w:jc w:val="center"/>
      </w:pPr>
      <w:r>
        <w:rPr>
          <w:sz w:val="20"/>
          <w:szCs w:val="20"/>
        </w:rPr>
        <w:t xml:space="preserve">April 2026</w:t>
      </w:r>
    </w:p>
    <w:p>
      <w:pPr>
        <w:spacing w:before="60"/>
        <w:jc w:val="center"/>
      </w:pPr>
      <w:r>
        <w:rPr>
          <w:b/>
          <w:bCs/>
          <w:color w:val="C00000"/>
          <w:sz w:val="18"/>
          <w:szCs w:val="18"/>
        </w:rPr>
        <w:t xml:space="preserve">Classification: CONFIDENTIAL</w:t>
      </w:r>
    </w:p>
    <w:p>
      <w:pPr>
        <w:spacing w:before="1600"/>
        <w:jc w:val="center"/>
      </w:pPr>
      <w:r>
        <w:rPr>
          <w:color w:val="595959"/>
          <w:sz w:val="16"/>
          <w:szCs w:val="16"/>
        </w:rPr>
        <w:t xml:space="preserve">© 2026 Sinergia Consulting Group S.A.S. • All Rights Reserved</w:t>
      </w:r>
    </w:p>
    <w:p>
      <w:r>
        <w:br w:type="page"/>
      </w:r>
    </w:p>
    <w:p>
      <w:pPr>
        <w:pStyle w:val="Heading1"/>
      </w:pPr>
      <w:r>
        <w:t xml:space="preserve">1. Propósito de la Ruta C</w:t>
      </w:r>
    </w:p>
    <w:p>
      <w:pPr>
        <w:spacing w:after="120" w:line="300"/>
        <w:jc w:val="both"/>
      </w:pPr>
      <w:r>
        <w:t xml:space="preserve">La Ruta C es la trayectoria de adopción de ARHIAX diseñada específicamente para organizaciones que ya tienen agentes en producción (o en piloto avanzado) y enfrentan una obligación regulatoria con fecha cierta. Es la más intensiva de las tres rutas de adopción que ofrece Sinergia (Ruta A: greenfield exploratorio; Ruta B: pilot estructurado de 12 a 16 semanas; Ruta C: rollout regulado de 24 semanas con auditoría).</w:t>
      </w:r>
    </w:p>
    <w:p>
      <w:pPr>
        <w:spacing w:after="120" w:line="300"/>
        <w:jc w:val="both"/>
      </w:pPr>
      <w:r>
        <w:t xml:space="preserve">La Ruta C asume que el cliente: (a) tiene al menos un workflow agéntico desplegado o en piloto avanzado; (b) tiene una obligación regulatoria con fecha límite definida (típicamente Banco Central do Brasil PSAV authorization, EU AI Act high-risk classification, o similar); (c) cuenta con un sponsor ejecutivo con autoridad para asignar recursos cross-funcionales; y (d) está dispuesto a someter el deployment final a una auditoría externa.</w:t>
      </w:r>
    </w:p>
    <w:p>
      <w:pPr>
        <w:pStyle w:val="Heading1"/>
      </w:pPr>
      <w:r>
        <w:t xml:space="preserve">2. Las Tres Rutas de Adopción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18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Audiencia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Duración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Cuándo elegirla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Ruta A — Exploratoria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Equipos de innovación / R&amp;D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8-10 semanas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Prueba de concepto en sandbox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presión regulatoria; explorar viabilidad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Ruta B — Pilot estructurado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Líderes de producto + Sec Eng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12-16 semanas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productivo en un workflow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Compromiso medio; sin fecha regulatoria fija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Ruta C — Rollout regulado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ejecutivo + cross-funcional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semanas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Producción completa + auditoría externa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 regulatoria fija; alto riesgo</w:t>
            </w:r>
          </w:p>
        </w:tc>
      </w:tr>
    </w:tbl>
    <w:p>
      <w:pPr>
        <w:pStyle w:val="Heading1"/>
      </w:pPr>
      <w:r>
        <w:t xml:space="preserve">3. Estructura de la Ruta C</w:t>
      </w:r>
    </w:p>
    <w:p>
      <w:pPr>
        <w:spacing w:after="120" w:line="300"/>
        <w:jc w:val="both"/>
      </w:pPr>
      <w:r>
        <w:t xml:space="preserve">La Ruta C se compone de cuatro fases secuenciales con gates explícitos entre fases. Cada gate requiere firma del sponsor ejecutivo y validación técnica de Sinergia.</w:t>
      </w:r>
    </w:p>
    <w:p>
      <w:pPr>
        <w:pStyle w:val="Heading2"/>
      </w:pPr>
      <w:r>
        <w:t xml:space="preserve">3.1 Fase 1 — Assessment &amp; Gap Analysis (Semanas 1-6)</w:t>
      </w:r>
    </w:p>
    <w:p>
      <w:pPr>
        <w:spacing w:after="120" w:line="300"/>
        <w:jc w:val="both"/>
      </w:pPr>
      <w:r>
        <w:t xml:space="preserve">Objetivo: producir un mapa claro entre el estado actual del cliente y los 36 controles de ARHIAX, identificar gaps críticos, y diseñar el plan de remediación.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Inventario de agentes en producción / piloto: identificación, ownership, dependencias, acceso a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Gap analysis contra los 36 controles ARHIAX y los 5 marcos de referencia (ARISE, NIST, CSA ATF, OWASP Agentic, Singapore MGF).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Mapeo regulatorio: traducción de la obligación regulatoria del cliente a controles ARHIAX específicos y a evidencia EGA esperada.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Diseño del Authorization Boundary y de la jerarquía de identidad AIM (Agent → Supervisor → Department → Boundary).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Selección del primer workflow para el pilot productivo (criterios: alto valor de negocio, riesgo manejable, disponibilidad de logs históricos para baseline BBR).</w:t>
      </w:r>
    </w:p>
    <w:p>
      <w:pPr>
        <w:spacing w:after="120" w:line="300"/>
        <w:jc w:val="both"/>
      </w:pPr>
      <w:r>
        <w:t xml:space="preserve">Entregables: Gap Analysis Report, Mapeo Regulatorio, Diseño AIM, Plan de Pilot. Gate G1: aprobación del sponsor ejecutivo y firma del SOW de Fase 2.</w:t>
      </w:r>
    </w:p>
    <w:p>
      <w:pPr>
        <w:pStyle w:val="Heading2"/>
      </w:pPr>
      <w:r>
        <w:t xml:space="preserve">3.2 Fase 2 — Pilot Deployment (Semanas 7-14)</w:t>
      </w:r>
    </w:p>
    <w:p>
      <w:pPr>
        <w:spacing w:after="120" w:line="300"/>
        <w:jc w:val="both"/>
      </w:pPr>
      <w:r>
        <w:t xml:space="preserve">Objetivo: desplegar ARHIAX en el workflow seleccionado, configurar los policy bundles relevantes, calibrar los baselines BBR, y validar end-to-end con tráfico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Despliegue de los servicios ARHIAX (ATK, OPA, AIM, D-TCG+, EGA, CR/MFCE) en el entorno de staging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de policy bundles: B14-B16 (identidad), B01-B13 (runtime aplicables al workflow), B17-B19 (gobernanza).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Bootstrap del Behavioral Baseline Registry usando logs históricos del workflow seleccionado (mínimo 2 semanas de tráfico representativo).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Integración con el SIEM existente del cliente: emisión CEF-ARHIA, evidence types EGA, decision logs OPA.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Promoción a producción del workflow piloto bajo monitoreo activo de SecOps y on-call de Sinergia.</w:t>
      </w:r>
    </w:p>
    <w:p>
      <w:pPr>
        <w:spacing w:after="120" w:line="300"/>
        <w:jc w:val="both"/>
      </w:pPr>
      <w:r>
        <w:t xml:space="preserve">Entregables: Pilot Deployment Report, Baseline Calibration Report, Integration Test Results, Pilot Production Sign-off. Gate G2: validación de KPIs operacionales (latencia, false positive rate, evidence completeness) y firma para Fase 3.</w:t>
      </w:r>
    </w:p>
    <w:p>
      <w:pPr>
        <w:pStyle w:val="Heading2"/>
      </w:pPr>
      <w:r>
        <w:t xml:space="preserve">3.3 Fase 3 — Production Rollout (Semanas 15-22)</w:t>
      </w:r>
    </w:p>
    <w:p>
      <w:pPr>
        <w:spacing w:after="120" w:line="300"/>
        <w:jc w:val="both"/>
      </w:pPr>
      <w:r>
        <w:t xml:space="preserve">Objetivo: extender la cobertura ARHIAX a todo el portafolio de agentes en alcance regulatorio.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 incremental de workflows adicionales (recomendado: 1-2 workflows por semana, en orden de criticidad).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Promoción de agentes en la escala A0-A4 usando el protocolo de 5 gates (Performance, Security, Business Impact, Clean History, Governance Sign-off).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Activación de los 10 OWASP ASI playbooks vía el Incident Playbook Mapper (PB-01 a PB-10).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Operacionalización de los 5 checkpoints HIC con los stakeholders del negocio (HIC-C01 a HIC-C05).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Drills de incident response en cada playbook con SecOps del cliente.</w:t>
      </w:r>
    </w:p>
    <w:p>
      <w:pPr>
        <w:spacing w:after="120" w:line="300"/>
        <w:jc w:val="both"/>
      </w:pPr>
      <w:r>
        <w:t xml:space="preserve">Entregables: Production Rollout Report, HIC Operations Manual, Incident Drill Reports, Promotion Records (A0→A4) por agente. Gate G3: cobertura del 100% de los workflows en alcance regulatorio y firma para auditoría externa.</w:t>
      </w:r>
    </w:p>
    <w:p>
      <w:pPr>
        <w:pStyle w:val="Heading2"/>
      </w:pPr>
      <w:r>
        <w:t xml:space="preserve">3.4 Fase 4 — External Audit &amp; Hand-Off (Semanas 23-24)</w:t>
      </w:r>
    </w:p>
    <w:p>
      <w:pPr>
        <w:spacing w:after="120" w:line="300"/>
        <w:jc w:val="both"/>
      </w:pPr>
      <w:r>
        <w:t xml:space="preserve">Objetivo: someter el deployment a una auditoría externa independiente y transferir operaciones al equipo del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Selección del auditor externo (Sinergia mantiene una lista corta de firmas calificadas; el cliente puede traer su propia firma).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del paquete de evidencia: export del Control Registry, MFCE crosswalks, EGA evidence sample, OPA decision logs, BBR baselines, AIM credential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Walkthroughs de auditoría: el auditor verifica la respuesta del modelo ARISE de 4 preguntas para cada uno de los 36 controles.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Remediación de findings (si los hay) y re-validación.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Hand-off operacional: training del equipo del cliente, documentación de runbooks, transición a soporte continuo.</w:t>
      </w:r>
    </w:p>
    <w:p>
      <w:pPr>
        <w:spacing w:after="120" w:line="300"/>
        <w:jc w:val="both"/>
      </w:pPr>
      <w:r>
        <w:t xml:space="preserve">Entregables: External Audit Report, Audit Response Pack, Operations Hand-off Document, Continuous Compliance SLA. Gate G4 (final): cierre del engagement y entrada en operaciones continuas.</w:t>
      </w:r>
    </w:p>
    <w:p>
      <w:pPr>
        <w:pStyle w:val="Heading1"/>
      </w:pPr>
      <w:r>
        <w:t xml:space="preserve">4. Estructura del Equipo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Lado del Cliente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Lado de Sinergia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Dedicación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Ejecutivo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C-Level (CRO / CTO / CISO)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Partner /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- 15%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Lead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PM / Eng Lead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Engagement Manager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Architect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Principal Architect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ARHIAX Architect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 Eng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SecOps Lead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ARHIAX Sec Eng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Lead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Chief Compliance Officer Delegate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SME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Engineer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o nuevo hire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OPA/Rego Specialist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durante Fase 2-3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 Externo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Firma calificada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Liaison de Sinergia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Solo Fase 4</w:t>
            </w:r>
          </w:p>
        </w:tc>
      </w:tr>
    </w:tbl>
    <w:p>
      <w:pPr>
        <w:pStyle w:val="Heading1"/>
      </w:pPr>
      <w:r>
        <w:t xml:space="preserve">5. Riesgos Conocidos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históricos insuficientes para baseline BBR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Extender ventana de calibración en Fase 2; aceptar baseline conservador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Resistencia del negocio a HIC checkpoints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Workshop con stakeholders en Fase 1; calibrar trigger thresholds con datos de pilot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Latencia OPA fuera de SLO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Sidecar deployment en lugar de central; profiling del bundle más caro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 externo rechaza un control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Walkthroughs preliminares antes de auditoría formal; remediación documentada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Cambio regulatorio durante el rollout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MFCE permite re-mapeo; mantener 1 sprint de buffer en Fase 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Pérdida de personal clave del cliente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Cross-training documentado; transferencia continua, no big-bang</w:t>
            </w:r>
          </w:p>
        </w:tc>
      </w:tr>
    </w:tbl>
    <w:p>
      <w:pPr>
        <w:pStyle w:val="Heading1"/>
      </w:pPr>
      <w:r>
        <w:t xml:space="preserve">6. KPIs de la Ruta 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de controles: 36/36 implementados y emitiendo evidencia al cierre de Fase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de marcos: 5/5 frameworks crosswalkeados al cierre de Fase 1; matrices regeneradas al cierre de cada fase.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Latencia ATK envelope: P99 menor a 80 ms end-to-end durante Fase 2 y posteriores.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Latencia OPA decision: P99 menor a 50 ms para runtime bundles durante Fase 2 y posteriores.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 rate de D-TCG+ correlation: menor al 5% al cierre de Fase 2; menor al 2% al cierre de Fase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Completitud de evidencia EGA: 100% de los controles emitiendo el evidence type esperado al cierre de Fase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findings críticos: cero al cierre de Fase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a producción del primer workflow: ≤ 14 semanas desde inicio del engagement.</w:t>
      </w:r>
    </w:p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center"/>
      </w:pPr>
      <w:r>
        <w:rPr>
          <w:i/>
          <w:iCs/>
        </w:rPr>
        <w:t xml:space="preserve">Fin del Documento — TR-2026-034-RC — Hoja de Ruta C ARHIAX v11.4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TR-2026-034-RC  •  ARHIAX v11.4  •  CONFIDENTIAL</w:t>
    </w:r>
    <w:r>
      <w:rPr>
        <w:color w:val="595959"/>
        <w:sz w:val="16"/>
        <w:szCs w:val="16"/>
      </w:rPr>
      <w:t xml:space="preserve">	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b/>
        <w:bCs/>
        <w:color w:val="1F3864"/>
        <w:sz w:val="16"/>
        <w:szCs w:val="16"/>
      </w:rPr>
      <w:t xml:space="preserve">SINERGIA CONSULTING GROUP S.A.S.</w:t>
    </w:r>
    <w:r>
      <w:rPr>
        <w:color w:val="595959"/>
        <w:sz w:val="16"/>
        <w:szCs w:val="16"/>
      </w:rPr>
      <w:t xml:space="preserve">	Hoja de Ruta — Ruta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— Ruta C</dc:title>
  <dc:creator>Sinergia Consulting Group S.A.S.</dc:creator>
  <dc:description>ARHIAX v11.4 — Hoja de Ruta — Ruta C</dc:description>
  <cp:lastModifiedBy>Un-named</cp:lastModifiedBy>
  <cp:revision>1</cp:revision>
  <dcterms:created xsi:type="dcterms:W3CDTF">2026-04-07T16:07:55.802Z</dcterms:created>
  <dcterms:modified xsi:type="dcterms:W3CDTF">2026-04-07T16:07:55.803Z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