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26"/>
          <w:szCs w:val="26"/>
        </w:rPr>
        <w:t xml:space="preserve">SINERGIA CONSULTING GROUP S.A.S.</w:t>
      </w:r>
    </w:p>
    <w:p>
      <w:pPr>
        <w:spacing w:after="600" w:before="120"/>
        <w:jc w:val="center"/>
      </w:pPr>
      <w:r>
        <w:rPr>
          <w:i/>
          <w:iCs/>
          <w:color w:val="595959"/>
          <w:sz w:val="20"/>
          <w:szCs w:val="20"/>
        </w:rPr>
        <w:t xml:space="preserve">Barranquilla • Bogotá • Colombia</w:t>
      </w:r>
    </w:p>
    <w:p>
      <w:pPr>
        <w:spacing w:before="400"/>
        <w:jc w:val="center"/>
      </w:pPr>
      <w:r>
        <w:rPr>
          <w:b/>
          <w:bCs/>
          <w:color w:val="1F3864"/>
          <w:sz w:val="72"/>
          <w:szCs w:val="72"/>
        </w:rPr>
        <w:t xml:space="preserve">ARHIAX</w:t>
      </w:r>
    </w:p>
    <w:p>
      <w:pPr>
        <w:spacing w:after="200" w:before="60"/>
        <w:jc w:val="center"/>
      </w:pPr>
      <w:r>
        <w:rPr>
          <w:i/>
          <w:iCs/>
          <w:color w:val="2E75B6"/>
          <w:sz w:val="22"/>
          <w:szCs w:val="22"/>
        </w:rPr>
        <w:t xml:space="preserve">Agentic Runtime for Human-in-Architecture</w:t>
      </w:r>
    </w:p>
    <w:p>
      <w:pPr>
        <w:spacing w:after="200" w:before="600"/>
        <w:jc w:val="center"/>
      </w:pPr>
      <w:r>
        <w:rPr>
          <w:b/>
          <w:bCs/>
          <w:color w:val="1F3864"/>
          <w:sz w:val="36"/>
          <w:szCs w:val="36"/>
        </w:rPr>
        <w:t xml:space="preserve">Master Architecture</w:t>
      </w:r>
    </w:p>
    <w:p>
      <w:pPr>
        <w:spacing w:after="200"/>
        <w:jc w:val="center"/>
      </w:pPr>
      <w:r>
        <w:rPr>
          <w:color w:val="595959"/>
          <w:sz w:val="24"/>
          <w:szCs w:val="24"/>
        </w:rPr>
        <w:t xml:space="preserve">Three-Plane Vendor-Neutral Governance Runtime</w:t>
      </w:r>
    </w:p>
    <w:p>
      <w:pPr>
        <w:spacing w:after="800" w:before="400"/>
        <w:jc w:val="center"/>
      </w:pPr>
      <w:r>
        <w:rPr>
          <w:i/>
          <w:iCs/>
          <w:color w:val="2E75B6"/>
          <w:sz w:val="22"/>
          <w:szCs w:val="22"/>
        </w:rPr>
        <w:t xml:space="preserve">"ARISE defines what. NIST defines why. CSA ATF defines how much. ARHIAX executes all three."</w:t>
      </w:r>
    </w:p>
    <w:p>
      <w:pPr>
        <w:spacing w:before="1200"/>
        <w:jc w:val="center"/>
      </w:pPr>
      <w:r>
        <w:rPr>
          <w:b/>
          <w:bCs/>
          <w:color w:val="1F3864"/>
          <w:sz w:val="22"/>
          <w:szCs w:val="22"/>
        </w:rPr>
        <w:t xml:space="preserve">Document Reference: TR-2026-034-A</w:t>
      </w:r>
    </w:p>
    <w:p>
      <w:pPr>
        <w:spacing w:before="100"/>
        <w:jc w:val="center"/>
      </w:pPr>
      <w:r>
        <w:rPr>
          <w:sz w:val="20"/>
          <w:szCs w:val="20"/>
        </w:rPr>
        <w:t xml:space="preserve">Version: 11.4</w:t>
      </w:r>
    </w:p>
    <w:p>
      <w:pPr>
        <w:spacing w:before="60"/>
        <w:jc w:val="center"/>
      </w:pPr>
      <w:r>
        <w:rPr>
          <w:sz w:val="20"/>
          <w:szCs w:val="20"/>
        </w:rPr>
        <w:t xml:space="preserve">April 2026</w:t>
      </w:r>
    </w:p>
    <w:p>
      <w:pPr>
        <w:spacing w:before="60"/>
        <w:jc w:val="center"/>
      </w:pPr>
      <w:r>
        <w:rPr>
          <w:b/>
          <w:bCs/>
          <w:color w:val="C00000"/>
          <w:sz w:val="18"/>
          <w:szCs w:val="18"/>
        </w:rPr>
        <w:t xml:space="preserve">Classification: CONFIDENTIAL</w:t>
      </w:r>
    </w:p>
    <w:p>
      <w:pPr>
        <w:spacing w:before="1600"/>
        <w:jc w:val="center"/>
      </w:pPr>
      <w:r>
        <w:rPr>
          <w:color w:val="595959"/>
          <w:sz w:val="16"/>
          <w:szCs w:val="16"/>
        </w:rPr>
        <w:t xml:space="preserve">© 2026 Sinergia Consulting Group S.A.S. • All Rights Reserved</w:t>
      </w:r>
    </w:p>
    <w:p>
      <w:r>
        <w:br w:type="page"/>
      </w:r>
    </w:p>
    <w:p>
      <w:pPr>
        <w:pStyle w:val="Heading1"/>
      </w:pPr>
      <w:r>
        <w:t xml:space="preserve">1. Document Purpose &amp; Scope</w:t>
      </w:r>
    </w:p>
    <w:p>
      <w:pPr>
        <w:spacing w:after="120" w:line="300"/>
        <w:jc w:val="both"/>
      </w:pPr>
      <w:r>
        <w:t xml:space="preserve">This Master Architecture document specifies the complete structural design of ARHIAX v11.4 (Agentic Runtime for Human-in-Architecture, Extended), the vendor-neutral governance runtime developed by Sinergia Consulting Group S.A.S. for regulated agentic AI deployments. It supersedes ARHIA v11.1 Master Architecture and consolidates the architectural deltas introduced through technical reports TR-2026-030 (Evolution Plan), TR-2026-031 (Phase 1 Foundation), TR-2026-032 (Phase 2 Crosswalks), TR-2026-033 (Phase 3 Technical Extension), and TR-2026-034 (Phase 4 Master Specification).</w:t>
      </w:r>
    </w:p>
    <w:p>
      <w:pPr>
        <w:spacing w:after="120" w:line="300"/>
        <w:jc w:val="both"/>
      </w:pPr>
      <w:r>
        <w:t xml:space="preserve">ARHIAX v11.4 is positioned as the only runtime in the agentic AI governance landscape that simultaneously provides policy-as-code (OPA/Rego), runtime enforcement (Agent Trust Kernel), behavioral monitoring (D-TCG+ v2), agent identity management (AIM), and auditable evidence generation (EGA), all formally crosswalked against ARISE, NIST AI RMF, NIST CSF 2.0, CSA ATF, OWASP Agentic Top 10, and Singapore MGF Agentic.</w:t>
      </w:r>
    </w:p>
    <w:p>
      <w:pPr>
        <w:spacing w:after="120" w:line="300"/>
        <w:jc w:val="both"/>
      </w:pPr>
      <w:r>
        <w:t xml:space="preserve">This document is intended for the following audiences: (a) enterprise architects evaluating ARHIAX for deployment; (b) compliance officers preparing audit packages against the five reference frameworks; (c) implementation engineers integrating ARHIAX components into existing agentic AI stacks; and (d) academic and standards reviewers assessing ARHIAX's contribution to the agentic AI governance literature.</w:t>
      </w:r>
    </w:p>
    <w:p>
      <w:pPr>
        <w:pStyle w:val="Heading1"/>
      </w:pPr>
      <w:r>
        <w:t xml:space="preserve">2. Architectural Principles</w:t>
      </w:r>
    </w:p>
    <w:p>
      <w:pPr>
        <w:spacing w:after="120" w:line="300"/>
        <w:jc w:val="both"/>
      </w:pPr>
      <w:r>
        <w:t xml:space="preserve">ARHIAX v11.4 is built on six non-negotiable architectural principles that govern every design decision in the runtime:</w:t>
      </w:r>
    </w:p>
    <w:p>
      <w:pPr>
        <w:pStyle w:val="ListParagraph"/>
        <w:numPr>
          <w:ilvl w:val="0"/>
          <w:numId w:val="2"/>
        </w:numPr>
        <w:spacing w:after="80"/>
      </w:pPr>
      <w:r>
        <w:t xml:space="preserve">Vendor neutrality. ARHIAX does not depend on any single LLM provider, cloud vendor, agent framework, or policy engine. Every integration point is defined by an open interface (OpenAPI for runtime APIs, JSON-LD for evidence, OPA/Rego for policy). The runtime is deployable on AWS, Azure, GCP, on-premises Kubernetes, or air-gapped environments without code modification.</w:t>
      </w:r>
    </w:p>
    <w:p>
      <w:pPr>
        <w:pStyle w:val="ListParagraph"/>
        <w:numPr>
          <w:ilvl w:val="0"/>
          <w:numId w:val="2"/>
        </w:numPr>
        <w:spacing w:after="80"/>
      </w:pPr>
      <w:r>
        <w:t xml:space="preserve">Policy-as-code by construction. Every governance constraint is expressed as executable OPA/Rego, not as documentation. ARHIAX v11.4 ships with 19 policy bundles totaling approximately 2,037 lines of audited Rego across three tiers (identity, runtime, governance).</w:t>
      </w:r>
    </w:p>
    <w:p>
      <w:pPr>
        <w:pStyle w:val="ListParagraph"/>
        <w:numPr>
          <w:ilvl w:val="0"/>
          <w:numId w:val="2"/>
        </w:numPr>
        <w:spacing w:after="80"/>
      </w:pPr>
      <w:r>
        <w:t xml:space="preserve">Evidence-first operations. ARHIAX produces auditable evidence as a runtime byproduct of every controlled operation. The Evidence Generation Architecture (EGA) defines five evidence types (LOG, ATT, MET, APR, TST) in JSON-LD with HMAC chain-of-custody.</w:t>
      </w:r>
    </w:p>
    <w:p>
      <w:pPr>
        <w:pStyle w:val="ListParagraph"/>
        <w:numPr>
          <w:ilvl w:val="0"/>
          <w:numId w:val="2"/>
        </w:numPr>
        <w:spacing w:after="80"/>
      </w:pPr>
      <w:r>
        <w:t xml:space="preserve">Human-in-architecture, not human-in-the-loop. Five governance checkpoints (HIC-C01 through HIC-C05) are first-class architectural elements with formal escalation gates, not optional review steps bolted on after deployment.</w:t>
      </w:r>
    </w:p>
    <w:p>
      <w:pPr>
        <w:pStyle w:val="ListParagraph"/>
        <w:numPr>
          <w:ilvl w:val="0"/>
          <w:numId w:val="2"/>
        </w:numPr>
        <w:spacing w:after="80"/>
      </w:pPr>
      <w:r>
        <w:t xml:space="preserve">Crosswalk-driven design. Every component is mapped to at least three reference frameworks. The Multi-Framework Crosswalk Engine (MFCE) ensures that every control answers the ARISE four-question model (What is implemented? Who is responsible? What evidence is generated? How often is it validated?).</w:t>
      </w:r>
    </w:p>
    <w:p>
      <w:pPr>
        <w:pStyle w:val="ListParagraph"/>
        <w:numPr>
          <w:ilvl w:val="0"/>
          <w:numId w:val="2"/>
        </w:numPr>
        <w:spacing w:after="80"/>
      </w:pPr>
      <w:r>
        <w:t xml:space="preserve">Defense in depth across telemetry layers. The D-TCG+ v2 correlation engine ingests four telemetry layers (Network, Prompt, Tool Call, Data Access) and computes a Cross-Layer Anomaly Score (CLAS) to detect coordinated attacks invisible at any single layer.</w:t>
      </w:r>
    </w:p>
    <w:p>
      <w:pPr>
        <w:pStyle w:val="Heading1"/>
      </w:pPr>
      <w:r>
        <w:t xml:space="preserve">3. Three-Plane Architecture</w:t>
      </w:r>
    </w:p>
    <w:p>
      <w:pPr>
        <w:spacing w:after="120" w:line="300"/>
        <w:jc w:val="both"/>
      </w:pPr>
      <w:r>
        <w:t xml:space="preserve">ARHIAX retains the foundational three-plane separation introduced in v11.3 and refined throughout the v11.4 evolution. The planes are not deployment tiers but functional separations of concern that enable independent scaling, audit, and substitution of components.</w:t>
      </w:r>
    </w:p>
    <w:p>
      <w:pPr>
        <w:pStyle w:val="Heading2"/>
      </w:pPr>
      <w:r>
        <w:t xml:space="preserve">3.1 Plane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960"/>
        <w:gridCol w:w="1500"/>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Plane</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Purpose</w:t>
            </w:r>
          </w:p>
        </w:tc>
        <w:tc>
          <w:tcPr>
            <w:tcW w:type="dxa" w:w="39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Components</w:t>
            </w:r>
          </w:p>
        </w:tc>
        <w:tc>
          <w:tcPr>
            <w:tcW w:type="dxa" w:w="1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Primary Audience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Trust Plane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Policy definition, identity management, evidence assurance, governance oversight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ATK, AIM (NEW), AIBOM, HIC, AUT, EGA (NEW), CR (NEW), MFCE (NEW)</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Compliance, Audit, Risk</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Control Plane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Runtime enforcement, monitoring, anomaly detection, incident response</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OPA/Rego Engine, D-TCG+ v2, BBR (NEW), IPM (NEW), Cross-Domain Correlator</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Security Operations, SRE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Execution Plane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Agent runtime, tool invocation, data access, inter-agent communication</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Agent containers, tool APIs, data connectors (deployment-specific)</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Application Engineers</w:t>
            </w:r>
          </w:p>
        </w:tc>
      </w:tr>
    </w:tbl>
    <w:p>
      <w:pPr>
        <w:pStyle w:val="Heading2"/>
      </w:pPr>
      <w:r>
        <w:t xml:space="preserve">3.2 Plane Interaction Model</w:t>
      </w:r>
    </w:p>
    <w:p>
      <w:pPr>
        <w:spacing w:after="120" w:line="300"/>
        <w:jc w:val="both"/>
      </w:pPr>
      <w:r>
        <w:t xml:space="preserve">The three planes communicate via well-defined synchronous and asynchronous interfaces. Synchronous interactions occur on the critical path of every agent invocation: the Execution Plane requests authorization from the Control Plane, which evaluates OPA/Rego policies sourced from the Trust Plane. Asynchronous interactions emit telemetry from the Execution Plane to the Control Plane (D-TCG+ correlation) and evidence from both planes to the Trust Plane (EGA ledger).</w:t>
      </w:r>
    </w:p>
    <w:p>
      <w:pPr>
        <w:spacing w:after="120" w:line="300"/>
        <w:jc w:val="both"/>
      </w:pPr>
      <w:r>
        <w:t xml:space="preserve">Critical-path latency is bounded by the OPA decision-time SLO (P99 less than 50 milliseconds for runtime bundles) and the ATK envelope evaluation (P99 less than 80 milliseconds end-to-end including AIM credential resolution and BBR baseline lookup). Asynchronous evidence emission is decoupled via a durable queue and does not block agent execution.</w:t>
      </w:r>
    </w:p>
    <w:p>
      <w:pPr>
        <w:pStyle w:val="Heading1"/>
      </w:pPr>
      <w:r>
        <w:t xml:space="preserve">4. Component Inventory</w:t>
      </w:r>
    </w:p>
    <w:p>
      <w:pPr>
        <w:spacing w:after="120" w:line="300"/>
        <w:jc w:val="both"/>
      </w:pPr>
      <w:r>
        <w:t xml:space="preserve">ARHIAX v11.4 contains fourteen first-class components across the Trust and Control planes. The Execution Plane is intentionally underspecified because it is deployment-specific; ARHIAX governs but does not implement agent runtimes or tool APIs.</w:t>
      </w:r>
    </w:p>
    <w:p>
      <w:pPr>
        <w:pStyle w:val="Heading2"/>
      </w:pPr>
      <w:r>
        <w:t xml:space="preserve">4.1 Component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1100"/>
        <w:gridCol w:w="2900"/>
        <w:gridCol w:w="1860"/>
      </w:tblGrid>
      <w:tr>
        <w:trPr>
          <w:tblHeader/>
        </w:trPr>
        <w:tc>
          <w:tcPr>
            <w:tcW w:type="dxa" w:w="6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w:t>
            </w:r>
          </w:p>
        </w:tc>
        <w:tc>
          <w:tcPr>
            <w:tcW w:type="dxa" w:w="29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Component</w:t>
            </w:r>
          </w:p>
        </w:tc>
        <w:tc>
          <w:tcPr>
            <w:tcW w:type="dxa" w:w="11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Plane</w:t>
            </w:r>
          </w:p>
        </w:tc>
        <w:tc>
          <w:tcPr>
            <w:tcW w:type="dxa" w:w="29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Status</w:t>
            </w:r>
          </w:p>
        </w:tc>
        <w:tc>
          <w:tcPr>
            <w:tcW w:type="dxa" w:w="18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Controls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Agent Trust Kernel (ATK)</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Trust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Enhanced (AIM hooks, EGA hooks)</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ATK-C01..C07 (7)</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Agent Identity Module (AIM)</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Trust</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NEW in v11.4</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AIM-C01..C03 (3)</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AI Bill of Materials (AIBOM)</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Trust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Enhanced (AIM fields)</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ABO-C01..C03 (3)</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Human-in-Architecture Checkpoints (HIC)</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Trust</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Unchanged from v11.3</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HIC-C01..C05 (5)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Autonomy Scale (AUT)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Trust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Enhanced (5-gate promotion)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AUT-C01..C05 (5)</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6</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Evidence Generation Architecture (EGA)</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Trust</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NEW in v11.4</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EGA-C01..C04 (4)</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7</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Control Registry (CR)</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Trust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NEW in v11.4 (meta)</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Catalogs all 36</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8</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Multi-Framework Crosswalk Engine (MFCE)</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Trust</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NEW in v11.4 (meta)</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5 framework xwalks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9</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OPA/Rego Policy Engine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Control</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Enhanced (19 bundles)</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OPA-C01..C04 (4)</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10</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D-TCG+ v2</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Control</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Major extension</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DTG-C01..C05 (5)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11</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Behavioral Baseline Registry (BBR)</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Control</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NEW in v11.4</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Part of DTG-C02, C05</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12</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Incident Playbook Mapper (IPM)</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Control</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NEW in v11.4</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Part of DTG-C04 (10 PB)</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13</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Cross-Domain Correlator</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Control</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NEW in v11.4</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Part of DTG-C03 (10 rules)</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14</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HMAC Ledger</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Trust</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Enhanced (JSON-LD evidence)</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Part of EGA-C03</w:t>
            </w:r>
          </w:p>
        </w:tc>
      </w:tr>
    </w:tbl>
    <w:p>
      <w:pPr>
        <w:pStyle w:val="Heading2"/>
      </w:pPr>
      <w:r>
        <w:t xml:space="preserve">4.2 Component Detail: Agent Trust Kernel (ATK)</w:t>
      </w:r>
    </w:p>
    <w:p>
      <w:pPr>
        <w:spacing w:after="120" w:line="300"/>
        <w:jc w:val="both"/>
      </w:pPr>
      <w:r>
        <w:t xml:space="preserve">The Agent Trust Kernel is the synchronous enforcement core of ARHIAX. Every agent invocation traverses the ATK envelope, which executes a five-check sequence: identity resolution (against AIM), authorization evaluation (against OPA/Rego runtime bundles), behavioral baseline check (against BBR), autonomy gate evaluation (against AUT), and evidence emission (to EGA). The ATK exposes a single OpenAPI-defined endpoint and is implemented as a stateless service horizontally scalable behind any standard load balancer.</w:t>
      </w:r>
    </w:p>
    <w:p>
      <w:pPr>
        <w:spacing w:after="120" w:line="300"/>
        <w:jc w:val="both"/>
      </w:pPr>
      <w:r>
        <w:t xml:space="preserve">In v11.4, ATK was enhanced with three integration hooks not present in v11.1: AIM credential resolution (control ATK-C01), EGA evidence emission (controls ATK-C02 through ATK-C06), and configuration audit (control ATK-C07). The five-check envelope produces six possible outcomes: ALLOW, ALLOW_WITH_MONITORING, ALLOW_WITH_HIC_NOTIFICATION, DENY, DENY_WITH_INCIDENT, and ESCALATE_TO_HUMAN.</w:t>
      </w:r>
    </w:p>
    <w:p>
      <w:pPr>
        <w:pStyle w:val="Heading2"/>
      </w:pPr>
      <w:r>
        <w:t xml:space="preserve">4.3 Component Detail: Agent Identity Module (AIM)</w:t>
      </w:r>
    </w:p>
    <w:p>
      <w:pPr>
        <w:spacing w:after="120" w:line="300"/>
        <w:jc w:val="both"/>
      </w:pPr>
      <w:r>
        <w:t xml:space="preserve">AIM is new in v11.4 and provides Non-Human Identity (NHI) management for every agent under ARHIAX governance. Each agent receives a 10-field credential structure including agentId, supervisorId, departmentId, authorizationBoundaryId, autonomyLevel, credentialIssuedAt, credentialExpiresAt, rotationPolicy, lifecycleState, and parentChainHmac. AIM implements a 6-phase lifecycle (Creation, Rotation, Promotion, Demotion, Suspension, Retirement) and integrates with six external systems including enterprise IAM, secrets vaults, and SIEM platforms.</w:t>
      </w:r>
    </w:p>
    <w:p>
      <w:pPr>
        <w:spacing w:after="120" w:line="300"/>
        <w:jc w:val="both"/>
      </w:pPr>
      <w:r>
        <w:t xml:space="preserve">The four-layer composite identity chain (Agent to Supervisor to Department to Authorization Boundary) is the foundation of every authorization decision. OPA/Rego policies in bundles B14 through B16 evaluate identity claims against this chain on every ATK envelope invocation.</w:t>
      </w:r>
    </w:p>
    <w:p>
      <w:pPr>
        <w:pStyle w:val="Heading2"/>
      </w:pPr>
      <w:r>
        <w:t xml:space="preserve">4.4 Component Detail: D-TCG+ v2 and Subsystems</w:t>
      </w:r>
    </w:p>
    <w:p>
      <w:pPr>
        <w:spacing w:after="120" w:line="300"/>
        <w:jc w:val="both"/>
      </w:pPr>
      <w:r>
        <w:t xml:space="preserve">D-TCG+ v2 extends the Defensive Tool Call Graph from v11.1 (single-layer trajectory monitoring) to a four-layer correlation engine. The four telemetry layers are: L1 Network (egress traffic, API gateway logs), L2 Prompt (LLM input/output traces, ATK inspection records), L3 Tool Call (D-TCG trajectory logs, parameter anomalies), and L4 Data Access (data store audit logs, AIM credential usage). The correlation engine ingests events into a Common Event Format (CEF-ARHIA) and evaluates them within configurable temporal windows (60 seconds real-time, 15 minutes near-real-time, 24 hours batch).</w:t>
      </w:r>
    </w:p>
    <w:p>
      <w:pPr>
        <w:spacing w:after="120" w:line="300"/>
        <w:jc w:val="both"/>
      </w:pPr>
      <w:r>
        <w:t xml:space="preserve">The Cross-Layer Anomaly Score (CLAS) is computed as a weighted sum across the four layers (default weights L1=0.15, L2=0.30, L3=0.35, L4=0.20). When CLAS exceeds the alert threshold (default 0.7), the Cross-Domain Correlator matches the signature against the OWASP ASI Playbook Library (10 playbooks) via the Incident Playbook Mapper. The Behavioral Baseline Registry (BBR) provides per-agent ground truth (11-field schema) with deviation thresholds calibrated by autonomy level (2.0σ at A1 ramping to 3.5σ at A4).</w:t>
      </w:r>
    </w:p>
    <w:p>
      <w:pPr>
        <w:pStyle w:val="Heading2"/>
      </w:pPr>
      <w:r>
        <w:t xml:space="preserve">4.5 Component Detail: Evidence Generation Architecture (EGA)</w:t>
      </w:r>
    </w:p>
    <w:p>
      <w:pPr>
        <w:spacing w:after="120" w:line="300"/>
        <w:jc w:val="both"/>
      </w:pPr>
      <w:r>
        <w:t xml:space="preserve">EGA is new in v11.4 and is the architectural component that transforms ARHIAX from a system that produces logs into a system that produces auditable governance evidence. EGA defines five evidence types: LOG (per-invocation runtime records), ATT (attestations on lifecycle events), MET (continuous metrics), APR (approvals on triggered checkpoints), and TST (test execution records). All evidence is emitted as JSON-LD documents and committed to the HMAC ledger with chain-of-custody linking. Retention follows a three-tier jurisdiction-aware schedule (7 years for regulated financial and healthcare deployments, 3 years for general enterprise, 1 year for development and staging).</w:t>
      </w:r>
    </w:p>
    <w:p>
      <w:pPr>
        <w:pStyle w:val="Heading2"/>
      </w:pPr>
      <w:r>
        <w:t xml:space="preserve">4.6 Component Detail: Control Registry (CR) and MFCE</w:t>
      </w:r>
    </w:p>
    <w:p>
      <w:pPr>
        <w:spacing w:after="120" w:line="300"/>
        <w:jc w:val="both"/>
      </w:pPr>
      <w:r>
        <w:t xml:space="preserve">The Control Registry is a meta-component: it does not implement runtime behavior, it catalogs the 36 auditable controls and their relationships. Each control entry contains the ARISE four-question structure plus framework crosswalks, evidence type bindings, owning subsystem, and OPA bundle references. The Multi-Framework Crosswalk Engine consumes the Control Registry and produces the five framework crosswalk matrices on demand. Both components are queryable via a JSON API and are exported as machine-readable JSON, YAML, and XLSX artifacts for audit consumption.</w:t>
      </w:r>
    </w:p>
    <w:p>
      <w:pPr>
        <w:pStyle w:val="Heading1"/>
      </w:pPr>
      <w:r>
        <w:t xml:space="preserve">5. Control Registry Summary</w:t>
      </w:r>
    </w:p>
    <w:p>
      <w:pPr>
        <w:spacing w:after="120" w:line="300"/>
        <w:jc w:val="both"/>
      </w:pPr>
      <w:r>
        <w:t xml:space="preserve">ARHIAX v11.4 defines 36 auditable controls across 8 subsystems. Each control answers the ARISE four-question model. The complete registry is documented in TR-2026-031 (Phase 1) and exported as a machine-readable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100"/>
        <w:gridCol w:w="2160"/>
        <w:gridCol w:w="200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Subsystem</w:t>
            </w:r>
          </w:p>
        </w:tc>
        <w:tc>
          <w:tcPr>
            <w:tcW w:type="dxa" w:w="11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Controls</w:t>
            </w:r>
          </w:p>
        </w:tc>
        <w:tc>
          <w:tcPr>
            <w:tcW w:type="dxa" w:w="11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New</w:t>
            </w:r>
          </w:p>
        </w:tc>
        <w:tc>
          <w:tcPr>
            <w:tcW w:type="dxa" w:w="21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Plane</w:t>
            </w:r>
          </w:p>
        </w:tc>
        <w:tc>
          <w:tcPr>
            <w:tcW w:type="dxa" w:w="20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Key Evidence Type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ATK — Agent Trust Kernel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7</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Trust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LOG (per-invocation)</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DTG — D-TCG+</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5</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Control</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LOG + MET (continuous)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ABO — AIBOM</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Trust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ATT (on-event)</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HIC — Checkpoints</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5</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Trust</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APR (on-trigger)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OPA — Policy Engine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Control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LOG + TST</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AUT — Autonomy Scale</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5</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Trust</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MET + APR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AIM — Agent Identity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Trust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LOG (lifecycle)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EGA — Evidence Architecture</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Trust</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MET (continuous)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TOTAL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Trust:27 Control:9</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 evidence types</w:t>
            </w:r>
          </w:p>
        </w:tc>
      </w:tr>
    </w:tbl>
    <w:p>
      <w:pPr>
        <w:pStyle w:val="Heading1"/>
      </w:pPr>
      <w:r>
        <w:t xml:space="preserve">6. Multi-Framework Alignment</w:t>
      </w:r>
    </w:p>
    <w:p>
      <w:pPr>
        <w:spacing w:after="120" w:line="300"/>
        <w:jc w:val="both"/>
      </w:pPr>
      <w:r>
        <w:t xml:space="preserve">ARHIAX v11.4 is the only agentic AI governance runtime with formal crosswalks against all five major frameworks published between December 2025 and March 2026. The complete crosswalk matrices are documented in TR-2026-032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Framework</w:t>
            </w:r>
          </w:p>
        </w:tc>
        <w:tc>
          <w:tcPr>
            <w:tcW w:type="dxa" w:w="1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Elements</w:t>
            </w:r>
          </w:p>
        </w:tc>
        <w:tc>
          <w:tcPr>
            <w:tcW w:type="dxa" w:w="1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Full</w:t>
            </w:r>
          </w:p>
        </w:tc>
        <w:tc>
          <w:tcPr>
            <w:tcW w:type="dxa" w:w="1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Partial</w:t>
            </w:r>
          </w:p>
        </w:tc>
        <w:tc>
          <w:tcPr>
            <w:tcW w:type="dxa" w:w="1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Gaps</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ARISE (7 domains)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7</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7 (100%)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w:t>
            </w:r>
          </w:p>
        </w:tc>
      </w:tr>
      <w:tr>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OWASP Agentic Top 10</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10</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8 (80%)</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 (20%)</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CSA ATF (5 elements)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 (100%)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w:t>
            </w:r>
          </w:p>
        </w:tc>
      </w:tr>
      <w:tr>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Singapore MGF Agentic (4 dims)</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 (100%)</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NIST AI RMF + CSF 2.0 (10 funcs)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9 (90%)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 (10%)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w:t>
            </w:r>
          </w:p>
        </w:tc>
      </w:tr>
    </w:tbl>
    <w:p>
      <w:pPr>
        <w:pStyle w:val="Heading2"/>
      </w:pPr>
      <w:r>
        <w:t xml:space="preserve">6.1 Maturity Model Harmonization</w:t>
      </w:r>
    </w:p>
    <w:p>
      <w:pPr>
        <w:spacing w:after="120" w:line="300"/>
        <w:jc w:val="both"/>
      </w:pPr>
      <w:r>
        <w:t xml:space="preserve">The ARHIAX A0 to A4 autonomy scale harmonizes with five external maturity models: CSA ATF Intern-to-Principal, NVIDIA L0-L3, KPMG TACO Tasker-to-Orchestrator, McKinsey RAI Levels 1-5, and Singapore MGF Dimensions 1-4. The unified 5-gate promotion protocol (Performance, Security, Business Impact, Clean History, Governance Sign-off) enables organizations to use any familiar maturity scale while maintaining ARHIAX governance rigor. Full mapping is documented in TR-2026-031 Section 3.</w:t>
      </w:r>
    </w:p>
    <w:p>
      <w:pPr>
        <w:pStyle w:val="Heading1"/>
      </w:pPr>
      <w:r>
        <w:t xml:space="preserve">7. Deployment Topology</w:t>
      </w:r>
    </w:p>
    <w:p>
      <w:pPr>
        <w:spacing w:after="120" w:line="300"/>
        <w:jc w:val="both"/>
      </w:pPr>
      <w:r>
        <w:t xml:space="preserve">ARHIAX is deployed as a set of containerized services orchestrated by Kubernetes (or any equivalent orchestrator). The reference deployment topology consists of: (a) the ATK service (stateless, horizontally scalable); (b) the OPA/Rego decision service (sidecar or central, depending on latency requirements); (c) the D-TCG+ correlation pipeline (stream processor with persistent baseline store); (d) the AIM identity service (backed by enterprise IAM and secrets vault); (e) the EGA evidence service (backed by the HMAC ledger and durable evidence store); and (f) the Control Registry and MFCE meta-services (read-only query APIs).</w:t>
      </w:r>
    </w:p>
    <w:p>
      <w:pPr>
        <w:spacing w:after="120" w:line="300"/>
        <w:jc w:val="both"/>
      </w:pPr>
      <w:r>
        <w:t xml:space="preserve">All services expose Prometheus metrics, OpenTelemetry traces, and structured logs in CEF-ARHIA format. The reference Helm chart and Terraform modules are provided in the ARHIAX deployment package and are not specified here.</w:t>
      </w:r>
    </w:p>
    <w:p>
      <w:pPr>
        <w:pStyle w:val="Heading1"/>
      </w:pPr>
      <w:r>
        <w:t xml:space="preserve">8. Quantitative Delta vs v11.3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500"/>
        <w:gridCol w:w="3500"/>
      </w:tblGrid>
      <w:tr>
        <w:trPr>
          <w:tblHeader/>
        </w:trPr>
        <w:tc>
          <w:tcPr>
            <w:tcW w:type="dxa" w:w="33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Metric</w:t>
            </w:r>
          </w:p>
        </w:tc>
        <w:tc>
          <w:tcPr>
            <w:tcW w:type="dxa" w:w="2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v11.3</w:t>
            </w:r>
          </w:p>
        </w:tc>
        <w:tc>
          <w:tcPr>
            <w:tcW w:type="dxa" w:w="3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v11.4 (ARHIAX)</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Auditable controls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~21 (informal)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36 (formal registry)</w:t>
            </w:r>
          </w:p>
        </w:tc>
      </w:tr>
      <w:tr>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Components (Trust + Control)</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7</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14</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OPA/Rego policy bundles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13</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19</w:t>
            </w:r>
          </w:p>
        </w:tc>
      </w:tr>
      <w:tr>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OPA/Rego total lines</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~1,277</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~2,037</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Framework crosswalks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 (partial)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 (full) + NIST CSF 2.0</w:t>
            </w:r>
          </w:p>
        </w:tc>
      </w:tr>
      <w:tr>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OWASP ASI incident playbooks</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10</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Maturity models harmonized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 (CSA ATF partial)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6 (full harmonization)</w:t>
            </w:r>
          </w:p>
        </w:tc>
      </w:tr>
      <w:tr>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Correlation rules (D-TCG+)</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10 (CLAS-based)</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Evidence types formalized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 (informal logging)</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 types, JSON-LD schema</w:t>
            </w:r>
          </w:p>
        </w:tc>
      </w:tr>
      <w:tr>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Agent identity model</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Internal ATK-only</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AIM: NHI-compatible, 4-layer chain</w:t>
            </w:r>
          </w:p>
        </w:tc>
      </w:tr>
    </w:tbl>
    <w:p>
      <w:pPr>
        <w:pStyle w:val="Heading1"/>
      </w:pPr>
      <w:r>
        <w:t xml:space="preserve">9. References</w:t>
      </w:r>
    </w:p>
    <w:p>
      <w:pPr>
        <w:pStyle w:val="ListParagraph"/>
        <w:numPr>
          <w:ilvl w:val="0"/>
          <w:numId w:val="2"/>
        </w:numPr>
        <w:spacing w:after="80"/>
      </w:pPr>
      <w:r>
        <w:t xml:space="preserve">TR-2026-030 — ARHIA v11.4 Evolution Plan</w:t>
      </w:r>
    </w:p>
    <w:p>
      <w:pPr>
        <w:pStyle w:val="ListParagraph"/>
        <w:numPr>
          <w:ilvl w:val="0"/>
          <w:numId w:val="2"/>
        </w:numPr>
        <w:spacing w:after="80"/>
      </w:pPr>
      <w:r>
        <w:t xml:space="preserve">TR-2026-031 — Phase 1: Foundation (Control Registry, EGA, Maturity Map, AIM)</w:t>
      </w:r>
    </w:p>
    <w:p>
      <w:pPr>
        <w:pStyle w:val="ListParagraph"/>
        <w:numPr>
          <w:ilvl w:val="0"/>
          <w:numId w:val="2"/>
        </w:numPr>
        <w:spacing w:after="80"/>
      </w:pPr>
      <w:r>
        <w:t xml:space="preserve">TR-2026-032 — Phase 2: Crosswalk Construction (5 frameworks)</w:t>
      </w:r>
    </w:p>
    <w:p>
      <w:pPr>
        <w:pStyle w:val="ListParagraph"/>
        <w:numPr>
          <w:ilvl w:val="0"/>
          <w:numId w:val="2"/>
        </w:numPr>
        <w:spacing w:after="80"/>
      </w:pPr>
      <w:r>
        <w:t xml:space="preserve">TR-2026-033 — Phase 3: Technical Extension (D-TCG+ v2, BBR, Playbooks, OPA v2)</w:t>
      </w:r>
    </w:p>
    <w:p>
      <w:pPr>
        <w:pStyle w:val="ListParagraph"/>
        <w:numPr>
          <w:ilvl w:val="0"/>
          <w:numId w:val="2"/>
        </w:numPr>
        <w:spacing w:after="80"/>
      </w:pPr>
      <w:r>
        <w:t xml:space="preserve">TR-2026-034 — Phase 4: Master Specification</w:t>
      </w:r>
    </w:p>
    <w:p>
      <w:pPr>
        <w:pStyle w:val="ListParagraph"/>
        <w:numPr>
          <w:ilvl w:val="0"/>
          <w:numId w:val="2"/>
        </w:numPr>
        <w:spacing w:after="80"/>
      </w:pPr>
      <w:r>
        <w:t xml:space="preserve">ARISE Operationalization Framework, Assessed Intelligence, 2026</w:t>
      </w:r>
    </w:p>
    <w:p>
      <w:pPr>
        <w:pStyle w:val="ListParagraph"/>
        <w:numPr>
          <w:ilvl w:val="0"/>
          <w:numId w:val="2"/>
        </w:numPr>
        <w:spacing w:after="80"/>
      </w:pPr>
      <w:r>
        <w:t xml:space="preserve">OWASP Agentic Security Initiative, Agentic Top 10, 2026</w:t>
      </w:r>
    </w:p>
    <w:p>
      <w:pPr>
        <w:pStyle w:val="ListParagraph"/>
        <w:numPr>
          <w:ilvl w:val="0"/>
          <w:numId w:val="2"/>
        </w:numPr>
        <w:spacing w:after="80"/>
      </w:pPr>
      <w:r>
        <w:t xml:space="preserve">Cloud Security Alliance, Agentic Trust Framework v1, 2026</w:t>
      </w:r>
    </w:p>
    <w:p>
      <w:pPr>
        <w:pStyle w:val="ListParagraph"/>
        <w:numPr>
          <w:ilvl w:val="0"/>
          <w:numId w:val="2"/>
        </w:numPr>
        <w:spacing w:after="80"/>
      </w:pPr>
      <w:r>
        <w:t xml:space="preserve">Singapore IMDA, Model AI Governance Framework — Agentic Edition, 2026</w:t>
      </w:r>
    </w:p>
    <w:p>
      <w:pPr>
        <w:pStyle w:val="ListParagraph"/>
        <w:numPr>
          <w:ilvl w:val="0"/>
          <w:numId w:val="2"/>
        </w:numPr>
        <w:spacing w:after="80"/>
      </w:pPr>
      <w:r>
        <w:t xml:space="preserve">NIST AI RMF 1.0; NIST CSF 2.0</w:t>
      </w:r>
    </w:p>
    <w:p>
      <w:pPr>
        <w:spacing w:after="120" w:line="300"/>
        <w:jc w:val="both"/>
      </w:pPr>
      <w:r>
        <w:t xml:space="preserve"/>
      </w:r>
    </w:p>
    <w:p>
      <w:pPr>
        <w:spacing w:after="120" w:line="300"/>
        <w:jc w:val="center"/>
      </w:pPr>
      <w:r>
        <w:rPr>
          <w:i/>
          <w:iCs/>
        </w:rPr>
        <w:t xml:space="preserve">End of Document — TR-2026-034-A — ARHIAX v11.4 Master Architecture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color w:val="595959"/>
        <w:sz w:val="16"/>
        <w:szCs w:val="16"/>
      </w:rPr>
      <w:t xml:space="preserve">TR-2026-034-A  •  ARHIAX v11.4  •  CONFIDENTIAL</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b/>
        <w:bCs/>
        <w:color w:val="1F3864"/>
        <w:sz w:val="16"/>
        <w:szCs w:val="16"/>
      </w:rPr>
      <w:t xml:space="preserve">SINERGIA CONSULTING GROUP S.A.S.</w:t>
    </w:r>
    <w:r>
      <w:rPr>
        <w:color w:val="595959"/>
        <w:sz w:val="16"/>
        <w:szCs w:val="16"/>
      </w:rPr>
      <w:t xml:space="preserve">	Master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3"/>
      <w:szCs w:val="23"/>
    </w:rPr>
  </w:style>
  <w:style w:type="paragraph" w:styleId="Heading4">
    <w:name w:val="Heading 4"/>
    <w:basedOn w:val="Normal"/>
    <w:next w:val="Normal"/>
    <w:qFormat/>
    <w:pPr>
      <w:spacing w:after="80" w:before="140"/>
      <w:outlineLvl w:val="3"/>
    </w:pPr>
    <w:rPr>
      <w:rFonts w:ascii="Arial" w:cs="Arial" w:eastAsia="Arial" w:hAnsi="Arial"/>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Architecture</dc:title>
  <dc:creator>Sinergia Consulting Group S.A.S.</dc:creator>
  <dc:description>ARHIAX v11.4 — Master Architecture</dc:description>
  <cp:lastModifiedBy>Un-named</cp:lastModifiedBy>
  <cp:revision>1</cp:revision>
  <dcterms:created xsi:type="dcterms:W3CDTF">2026-04-07T16:00:22.939Z</dcterms:created>
  <dcterms:modified xsi:type="dcterms:W3CDTF">2026-04-07T16:00:22.940Z</dcterms:modified>
</cp:coreProperties>
</file>

<file path=docProps/custom.xml><?xml version="1.0" encoding="utf-8"?>
<Properties xmlns="http://schemas.openxmlformats.org/officeDocument/2006/custom-properties" xmlns:vt="http://schemas.openxmlformats.org/officeDocument/2006/docPropsVTypes"/>
</file>