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A3800" w14:textId="77777777" w:rsidR="0099437E" w:rsidRDefault="00E63A4C">
      <w:pPr>
        <w:spacing w:after="2000"/>
      </w:pPr>
      <w:r>
        <w:t xml:space="preserve"> </w:t>
      </w:r>
    </w:p>
    <w:p w14:paraId="11034C38" w14:textId="77777777" w:rsidR="0099437E" w:rsidRPr="003D7036" w:rsidRDefault="00E63A4C">
      <w:pPr>
        <w:spacing w:after="200"/>
        <w:jc w:val="center"/>
        <w:rPr>
          <w:lang w:val="en-US"/>
        </w:rPr>
      </w:pPr>
      <w:r w:rsidRPr="003D7036">
        <w:rPr>
          <w:b/>
          <w:bCs/>
          <w:color w:val="2E75B6"/>
          <w:sz w:val="36"/>
          <w:szCs w:val="36"/>
          <w:lang w:val="en-US"/>
        </w:rPr>
        <w:t>ARHIAX v11.4</w:t>
      </w:r>
    </w:p>
    <w:p w14:paraId="468FA941" w14:textId="77777777" w:rsidR="0099437E" w:rsidRPr="003D7036" w:rsidRDefault="00E63A4C">
      <w:pPr>
        <w:spacing w:after="240"/>
        <w:jc w:val="center"/>
        <w:rPr>
          <w:lang w:val="en-US"/>
        </w:rPr>
      </w:pPr>
      <w:r w:rsidRPr="003D7036">
        <w:rPr>
          <w:b/>
          <w:bCs/>
          <w:color w:val="1F3864"/>
          <w:sz w:val="56"/>
          <w:szCs w:val="56"/>
          <w:lang w:val="en-US"/>
        </w:rPr>
        <w:t>OpenCore Strategy</w:t>
      </w:r>
    </w:p>
    <w:p w14:paraId="105D0333" w14:textId="77777777" w:rsidR="0099437E" w:rsidRPr="003D7036" w:rsidRDefault="00E63A4C">
      <w:pPr>
        <w:spacing w:after="2400"/>
        <w:jc w:val="center"/>
        <w:rPr>
          <w:lang w:val="en-US"/>
        </w:rPr>
      </w:pPr>
      <w:r w:rsidRPr="003D7036">
        <w:rPr>
          <w:i/>
          <w:iCs/>
          <w:color w:val="595959"/>
          <w:sz w:val="28"/>
          <w:szCs w:val="28"/>
          <w:lang w:val="en-US"/>
        </w:rPr>
        <w:t>Open-Core Licensing, Commercialization, and Community Strategy</w:t>
      </w:r>
    </w:p>
    <w:p w14:paraId="5B50742C" w14:textId="77777777" w:rsidR="0099437E" w:rsidRPr="003D7036" w:rsidRDefault="00E63A4C">
      <w:pPr>
        <w:spacing w:after="120"/>
        <w:jc w:val="center"/>
        <w:rPr>
          <w:lang w:val="en-US"/>
        </w:rPr>
      </w:pPr>
      <w:r w:rsidRPr="003D7036">
        <w:rPr>
          <w:color w:val="262626"/>
          <w:lang w:val="en-US"/>
        </w:rPr>
        <w:t>Document ID: ARHIAX-v114-OCS-001</w:t>
      </w:r>
    </w:p>
    <w:p w14:paraId="3885A21D" w14:textId="77777777" w:rsidR="0099437E" w:rsidRPr="003D7036" w:rsidRDefault="00E63A4C">
      <w:pPr>
        <w:spacing w:after="120"/>
        <w:jc w:val="center"/>
        <w:rPr>
          <w:lang w:val="en-US"/>
        </w:rPr>
      </w:pPr>
      <w:r w:rsidRPr="003D7036">
        <w:rPr>
          <w:color w:val="262626"/>
          <w:lang w:val="en-US"/>
        </w:rPr>
        <w:t>Version: v1.0  ·  Date: 2026-04-07</w:t>
      </w:r>
    </w:p>
    <w:p w14:paraId="79A8FC1D" w14:textId="77777777" w:rsidR="0099437E" w:rsidRDefault="00E63A4C">
      <w:pPr>
        <w:spacing w:after="120"/>
        <w:jc w:val="center"/>
      </w:pPr>
      <w:r w:rsidRPr="003D7036">
        <w:rPr>
          <w:color w:val="262626"/>
          <w:lang w:val="en-US"/>
        </w:rPr>
        <w:t xml:space="preserve">Sinergia Consulting Group S.A.S.  </w:t>
      </w:r>
      <w:r>
        <w:rPr>
          <w:color w:val="262626"/>
        </w:rPr>
        <w:t>·  Barranquilla, Colombia</w:t>
      </w:r>
    </w:p>
    <w:p w14:paraId="62DCCC9C" w14:textId="77777777" w:rsidR="0099437E" w:rsidRDefault="00E63A4C">
      <w:pPr>
        <w:spacing w:after="120"/>
        <w:jc w:val="center"/>
      </w:pPr>
      <w:r>
        <w:rPr>
          <w:b/>
          <w:bCs/>
          <w:color w:val="C55A11"/>
          <w:sz w:val="20"/>
          <w:szCs w:val="20"/>
        </w:rPr>
        <w:t>INTERNO · CONFIDENCIAL</w:t>
      </w:r>
    </w:p>
    <w:p w14:paraId="4BA2620D" w14:textId="77777777" w:rsidR="0099437E" w:rsidRDefault="00E63A4C">
      <w:r>
        <w:br w:type="page"/>
      </w:r>
    </w:p>
    <w:p w14:paraId="2F985D59" w14:textId="77777777" w:rsidR="0099437E" w:rsidRDefault="00E63A4C">
      <w:pPr>
        <w:pStyle w:val="Ttulo1"/>
      </w:pPr>
      <w:r>
        <w:lastRenderedPageBreak/>
        <w:t>1. Executive Summary</w:t>
      </w:r>
    </w:p>
    <w:p w14:paraId="0341E3E5" w14:textId="77777777" w:rsidR="0099437E" w:rsidRPr="003D7036" w:rsidRDefault="00E63A4C">
      <w:pPr>
        <w:spacing w:after="140" w:line="300" w:lineRule="auto"/>
        <w:jc w:val="both"/>
        <w:rPr>
          <w:lang w:val="en-US"/>
        </w:rPr>
      </w:pPr>
      <w:r w:rsidRPr="003D7036">
        <w:rPr>
          <w:color w:val="262626"/>
          <w:lang w:val="en-US"/>
        </w:rPr>
        <w:t>This document defines the open-core licensing and commercialization strategy for ARHIAX v11.4. It establishes the line of demarcation between the publ</w:t>
      </w:r>
      <w:r w:rsidRPr="003D7036">
        <w:rPr>
          <w:color w:val="262626"/>
          <w:lang w:val="en-US"/>
        </w:rPr>
        <w:t>ic Community edition (Apache 2.0) and the private Enterprise edition (commercial license), specifies the technical mechanism for enforcing that line in the runtime, defines the pricing structure, and lays out the four-phase transition roadmap from the curr</w:t>
      </w:r>
      <w:r w:rsidRPr="003D7036">
        <w:rPr>
          <w:color w:val="262626"/>
          <w:lang w:val="en-US"/>
        </w:rPr>
        <w:t>ent proprietary v11.4 release to the open-core release.</w:t>
      </w:r>
    </w:p>
    <w:p w14:paraId="11D08363" w14:textId="77777777" w:rsidR="0099437E" w:rsidRPr="003D7036" w:rsidRDefault="00E63A4C">
      <w:pPr>
        <w:spacing w:after="140" w:line="300" w:lineRule="auto"/>
        <w:jc w:val="both"/>
        <w:rPr>
          <w:lang w:val="en-US"/>
        </w:rPr>
      </w:pPr>
      <w:r w:rsidRPr="003D7036">
        <w:rPr>
          <w:color w:val="262626"/>
          <w:lang w:val="en-US"/>
        </w:rPr>
        <w:t>The strategic premise is simple: the durable competitive moat in agentic AI governance is not the policy code itself but the continuous operation of governance intelligence — bundle updates as new att</w:t>
      </w:r>
      <w:r w:rsidRPr="003D7036">
        <w:rPr>
          <w:color w:val="262626"/>
          <w:lang w:val="en-US"/>
        </w:rPr>
        <w:t>ack patterns emerge, behavioral baselines pre-trained on industry-specific data, threat intelligence feeds for prompt injection signatures, and crosswalk maintenance as external frameworks evolve. Code can be copied; an operating intelligence service canno</w:t>
      </w:r>
      <w:r w:rsidRPr="003D7036">
        <w:rPr>
          <w:color w:val="262626"/>
          <w:lang w:val="en-US"/>
        </w:rPr>
        <w:t>t. Therefore the strategy makes the entire policy execution runtime open-source under Apache 2.0 (which maximizes adoption, academic credibility, and auditor verification) while reserving for the Enterprise edition the six bundles that constitute the audit</w:t>
      </w:r>
      <w:r w:rsidRPr="003D7036">
        <w:rPr>
          <w:color w:val="262626"/>
          <w:lang w:val="en-US"/>
        </w:rPr>
        <w:t>able governance layer (B14 through B19) and the API of intelligence that keeps the runtime current.</w:t>
      </w:r>
    </w:p>
    <w:p w14:paraId="074D337A" w14:textId="77777777" w:rsidR="0099437E" w:rsidRPr="003D7036" w:rsidRDefault="00E63A4C">
      <w:pPr>
        <w:spacing w:after="140" w:line="300" w:lineRule="auto"/>
        <w:jc w:val="both"/>
        <w:rPr>
          <w:lang w:val="en-US"/>
        </w:rPr>
      </w:pPr>
      <w:r w:rsidRPr="003D7036">
        <w:rPr>
          <w:color w:val="262626"/>
          <w:lang w:val="en-US"/>
        </w:rPr>
        <w:t>Three outcomes are sought from this strategy. First, broad adoption of the ARHIAX framework as the de facto standard for agentic governance, supported by an</w:t>
      </w:r>
      <w:r w:rsidRPr="003D7036">
        <w:rPr>
          <w:color w:val="262626"/>
          <w:lang w:val="en-US"/>
        </w:rPr>
        <w:t xml:space="preserve"> active open-source community contributing crosswalks, examples, and bug fixes. Second, a defensible commercial business with enterprise customers paying for the governance and intelligence layer that the community edition deliberately does not include. Th</w:t>
      </w:r>
      <w:r w:rsidRPr="003D7036">
        <w:rPr>
          <w:color w:val="262626"/>
          <w:lang w:val="en-US"/>
        </w:rPr>
        <w:t>ird, alignment with the academic publication strategy (Paper A targeting arXiv, Paper B for SSRN, Paper C for ICAIF 2026) which benefits from a public reference implementation that auditors and reviewers can independently verify.</w:t>
      </w:r>
    </w:p>
    <w:p w14:paraId="37BC96E1" w14:textId="77777777" w:rsidR="0099437E" w:rsidRPr="003D7036" w:rsidRDefault="00E63A4C">
      <w:pPr>
        <w:spacing w:after="120"/>
        <w:rPr>
          <w:lang w:val="en-US"/>
        </w:rPr>
      </w:pPr>
      <w:r w:rsidRPr="003D7036">
        <w:rPr>
          <w:lang w:val="en-US"/>
        </w:rPr>
        <w:t xml:space="preserve"> </w:t>
      </w:r>
    </w:p>
    <w:tbl>
      <w:tblPr>
        <w:tblW w:w="5000" w:type="pct"/>
        <w:tblBorders>
          <w:top w:val="single" w:sz="12" w:space="0" w:color="1F3864"/>
          <w:left w:val="single" w:sz="12" w:space="0" w:color="1F3864"/>
          <w:bottom w:val="single" w:sz="12" w:space="0" w:color="1F3864"/>
          <w:right w:val="single" w:sz="12" w:space="0" w:color="1F3864"/>
        </w:tblBorders>
        <w:tblCellMar>
          <w:left w:w="10" w:type="dxa"/>
          <w:right w:w="10" w:type="dxa"/>
        </w:tblCellMar>
        <w:tblLook w:val="04A0" w:firstRow="1" w:lastRow="0" w:firstColumn="1" w:lastColumn="0" w:noHBand="0" w:noVBand="1"/>
      </w:tblPr>
      <w:tblGrid>
        <w:gridCol w:w="9330"/>
      </w:tblGrid>
      <w:tr w:rsidR="0099437E" w:rsidRPr="003D7036" w14:paraId="05131FEE" w14:textId="77777777">
        <w:tblPrEx>
          <w:tblCellMar>
            <w:top w:w="0" w:type="dxa"/>
            <w:bottom w:w="0" w:type="dxa"/>
          </w:tblCellMar>
        </w:tblPrEx>
        <w:tc>
          <w:tcPr>
            <w:tcW w:w="0" w:type="auto"/>
            <w:shd w:val="clear" w:color="auto" w:fill="DEEBF7"/>
            <w:tcMar>
              <w:top w:w="160" w:type="dxa"/>
              <w:left w:w="200" w:type="dxa"/>
              <w:bottom w:w="160" w:type="dxa"/>
              <w:right w:w="200" w:type="dxa"/>
            </w:tcMar>
          </w:tcPr>
          <w:p w14:paraId="58F4FB1F" w14:textId="77777777" w:rsidR="0099437E" w:rsidRPr="003D7036" w:rsidRDefault="00E63A4C">
            <w:pPr>
              <w:spacing w:after="80"/>
              <w:rPr>
                <w:lang w:val="en-US"/>
              </w:rPr>
            </w:pPr>
            <w:r w:rsidRPr="003D7036">
              <w:rPr>
                <w:b/>
                <w:bCs/>
                <w:color w:val="1F3864"/>
                <w:lang w:val="en-US"/>
              </w:rPr>
              <w:t>Why open-core, why now</w:t>
            </w:r>
          </w:p>
          <w:p w14:paraId="4952B5BE" w14:textId="77777777" w:rsidR="0099437E" w:rsidRPr="003D7036" w:rsidRDefault="00E63A4C">
            <w:pPr>
              <w:rPr>
                <w:lang w:val="en-US"/>
              </w:rPr>
            </w:pPr>
            <w:r w:rsidRPr="003D7036">
              <w:rPr>
                <w:color w:val="262626"/>
                <w:sz w:val="20"/>
                <w:szCs w:val="20"/>
                <w:lang w:val="en-US"/>
              </w:rPr>
              <w:t>T</w:t>
            </w:r>
            <w:r w:rsidRPr="003D7036">
              <w:rPr>
                <w:color w:val="262626"/>
                <w:sz w:val="20"/>
                <w:szCs w:val="20"/>
                <w:lang w:val="en-US"/>
              </w:rPr>
              <w:t xml:space="preserve">hree frameworks (CSA Agentic Trust Framework, OWASP Agentic Top 10, MAESTRO) define what agentic governance should accomplish. None ships executable runtime. Several proprietary platforms (Prisma AIRS, Zenity, Lasso Security, Gravitee) ship runtime but no </w:t>
            </w:r>
            <w:r w:rsidRPr="003D7036">
              <w:rPr>
                <w:color w:val="262626"/>
                <w:sz w:val="20"/>
                <w:szCs w:val="20"/>
                <w:lang w:val="en-US"/>
              </w:rPr>
              <w:t>open spec. ARHIAX is the first project that combines a normative specification, an executable runtime, and a deployable production package — and the open-core split is the licensing structure that lets it serve both the standards community and the enterpri</w:t>
            </w:r>
            <w:r w:rsidRPr="003D7036">
              <w:rPr>
                <w:color w:val="262626"/>
                <w:sz w:val="20"/>
                <w:szCs w:val="20"/>
                <w:lang w:val="en-US"/>
              </w:rPr>
              <w:t>se buyer without compromise to either.</w:t>
            </w:r>
          </w:p>
        </w:tc>
      </w:tr>
    </w:tbl>
    <w:p w14:paraId="49BCA223" w14:textId="77777777" w:rsidR="0099437E" w:rsidRPr="003D7036" w:rsidRDefault="00E63A4C">
      <w:pPr>
        <w:rPr>
          <w:lang w:val="en-US"/>
        </w:rPr>
      </w:pPr>
      <w:r w:rsidRPr="003D7036">
        <w:rPr>
          <w:lang w:val="en-US"/>
        </w:rPr>
        <w:br w:type="page"/>
      </w:r>
    </w:p>
    <w:p w14:paraId="64A4E6CA" w14:textId="77777777" w:rsidR="0099437E" w:rsidRPr="003D7036" w:rsidRDefault="00E63A4C">
      <w:pPr>
        <w:pStyle w:val="Ttulo1"/>
        <w:rPr>
          <w:lang w:val="en-US"/>
        </w:rPr>
      </w:pPr>
      <w:r w:rsidRPr="003D7036">
        <w:rPr>
          <w:lang w:val="en-US"/>
        </w:rPr>
        <w:lastRenderedPageBreak/>
        <w:t>2. Strategic Rationale</w:t>
      </w:r>
    </w:p>
    <w:p w14:paraId="2536B790" w14:textId="77777777" w:rsidR="0099437E" w:rsidRPr="003D7036" w:rsidRDefault="00E63A4C">
      <w:pPr>
        <w:pStyle w:val="Ttulo2"/>
        <w:rPr>
          <w:lang w:val="en-US"/>
        </w:rPr>
      </w:pPr>
      <w:r w:rsidRPr="003D7036">
        <w:rPr>
          <w:lang w:val="en-US"/>
        </w:rPr>
        <w:t>2.1. The four open-core models considered</w:t>
      </w:r>
    </w:p>
    <w:p w14:paraId="3F2CE388" w14:textId="77777777" w:rsidR="0099437E" w:rsidRPr="003D7036" w:rsidRDefault="00E63A4C">
      <w:pPr>
        <w:spacing w:after="140" w:line="300" w:lineRule="auto"/>
        <w:jc w:val="both"/>
        <w:rPr>
          <w:lang w:val="en-US"/>
        </w:rPr>
      </w:pPr>
      <w:r w:rsidRPr="003D7036">
        <w:rPr>
          <w:color w:val="262626"/>
          <w:lang w:val="en-US"/>
        </w:rPr>
        <w:t>Four established open-core models were evaluated against the ARHIAX context. Each has known proponents in the market and known failure modes.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2282"/>
        <w:gridCol w:w="2547"/>
        <w:gridCol w:w="2373"/>
      </w:tblGrid>
      <w:tr w:rsidR="0099437E" w14:paraId="7EB4E3A0"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tcPr>
          <w:p w14:paraId="3821B88A" w14:textId="77777777" w:rsidR="0099437E" w:rsidRDefault="00E63A4C">
            <w:pPr>
              <w:spacing w:after="40"/>
            </w:pPr>
            <w:r>
              <w:rPr>
                <w:b/>
                <w:bCs/>
                <w:color w:val="FFFFFF"/>
                <w:sz w:val="20"/>
                <w:szCs w:val="20"/>
              </w:rPr>
              <w:t>Model</w:t>
            </w:r>
          </w:p>
        </w:tc>
        <w:tc>
          <w:tcPr>
            <w:tcW w:w="2400" w:type="dxa"/>
            <w:shd w:val="clear" w:color="auto" w:fill="1F3864"/>
            <w:tcMar>
              <w:top w:w="100" w:type="dxa"/>
              <w:left w:w="120" w:type="dxa"/>
              <w:bottom w:w="100" w:type="dxa"/>
              <w:right w:w="120" w:type="dxa"/>
            </w:tcMar>
          </w:tcPr>
          <w:p w14:paraId="00B161B3" w14:textId="77777777" w:rsidR="0099437E" w:rsidRDefault="00E63A4C">
            <w:pPr>
              <w:spacing w:after="40"/>
            </w:pPr>
            <w:r>
              <w:rPr>
                <w:b/>
                <w:bCs/>
                <w:color w:val="FFFFFF"/>
                <w:sz w:val="20"/>
                <w:szCs w:val="20"/>
              </w:rPr>
              <w:t>Reference precedents</w:t>
            </w:r>
          </w:p>
        </w:tc>
        <w:tc>
          <w:tcPr>
            <w:tcW w:w="2700" w:type="dxa"/>
            <w:shd w:val="clear" w:color="auto" w:fill="1F3864"/>
            <w:tcMar>
              <w:top w:w="100" w:type="dxa"/>
              <w:left w:w="120" w:type="dxa"/>
              <w:bottom w:w="100" w:type="dxa"/>
              <w:right w:w="120" w:type="dxa"/>
            </w:tcMar>
          </w:tcPr>
          <w:p w14:paraId="2FFDC228" w14:textId="77777777" w:rsidR="0099437E" w:rsidRDefault="00E63A4C">
            <w:pPr>
              <w:spacing w:after="40"/>
            </w:pPr>
            <w:r>
              <w:rPr>
                <w:b/>
                <w:bCs/>
                <w:color w:val="FFFFFF"/>
                <w:sz w:val="20"/>
                <w:szCs w:val="20"/>
              </w:rPr>
              <w:t>Key advantage</w:t>
            </w:r>
          </w:p>
        </w:tc>
        <w:tc>
          <w:tcPr>
            <w:tcW w:w="2500" w:type="dxa"/>
            <w:shd w:val="clear" w:color="auto" w:fill="1F3864"/>
            <w:tcMar>
              <w:top w:w="100" w:type="dxa"/>
              <w:left w:w="120" w:type="dxa"/>
              <w:bottom w:w="100" w:type="dxa"/>
              <w:right w:w="120" w:type="dxa"/>
            </w:tcMar>
          </w:tcPr>
          <w:p w14:paraId="350E3FDD" w14:textId="77777777" w:rsidR="0099437E" w:rsidRDefault="00E63A4C">
            <w:pPr>
              <w:spacing w:after="40"/>
            </w:pPr>
            <w:r>
              <w:rPr>
                <w:b/>
                <w:bCs/>
                <w:color w:val="FFFFFF"/>
                <w:sz w:val="20"/>
                <w:szCs w:val="20"/>
              </w:rPr>
              <w:t>Why not chosen</w:t>
            </w:r>
          </w:p>
        </w:tc>
      </w:tr>
      <w:tr w:rsidR="0099437E" w:rsidRPr="003D7036" w14:paraId="54B98DA7" w14:textId="77777777">
        <w:tblPrEx>
          <w:tblCellMar>
            <w:top w:w="0" w:type="dxa"/>
            <w:bottom w:w="0" w:type="dxa"/>
          </w:tblCellMar>
        </w:tblPrEx>
        <w:tc>
          <w:tcPr>
            <w:tcW w:w="2000" w:type="dxa"/>
            <w:tcMar>
              <w:top w:w="100" w:type="dxa"/>
              <w:left w:w="120" w:type="dxa"/>
              <w:bottom w:w="100" w:type="dxa"/>
              <w:right w:w="120" w:type="dxa"/>
            </w:tcMar>
          </w:tcPr>
          <w:p w14:paraId="7C8D6D9D" w14:textId="77777777" w:rsidR="0099437E" w:rsidRDefault="00E63A4C">
            <w:pPr>
              <w:spacing w:after="40"/>
            </w:pPr>
            <w:r>
              <w:rPr>
                <w:b/>
                <w:bCs/>
                <w:color w:val="262626"/>
                <w:sz w:val="20"/>
                <w:szCs w:val="20"/>
              </w:rPr>
              <w:t>1. Horizontal split</w:t>
            </w:r>
          </w:p>
        </w:tc>
        <w:tc>
          <w:tcPr>
            <w:tcW w:w="2000" w:type="dxa"/>
            <w:tcMar>
              <w:top w:w="100" w:type="dxa"/>
              <w:left w:w="120" w:type="dxa"/>
              <w:bottom w:w="100" w:type="dxa"/>
              <w:right w:w="120" w:type="dxa"/>
            </w:tcMar>
          </w:tcPr>
          <w:p w14:paraId="58B32BA0" w14:textId="77777777" w:rsidR="0099437E" w:rsidRPr="003D7036" w:rsidRDefault="00E63A4C">
            <w:pPr>
              <w:spacing w:after="40"/>
              <w:rPr>
                <w:lang w:val="en-US"/>
              </w:rPr>
            </w:pPr>
            <w:r w:rsidRPr="003D7036">
              <w:rPr>
                <w:color w:val="262626"/>
                <w:sz w:val="20"/>
                <w:szCs w:val="20"/>
                <w:lang w:val="en-US"/>
              </w:rPr>
              <w:t>HashiCorp Terraform, Confluent Kafka, Elastic in early years</w:t>
            </w:r>
          </w:p>
        </w:tc>
        <w:tc>
          <w:tcPr>
            <w:tcW w:w="2000" w:type="dxa"/>
            <w:tcMar>
              <w:top w:w="100" w:type="dxa"/>
              <w:left w:w="120" w:type="dxa"/>
              <w:bottom w:w="100" w:type="dxa"/>
              <w:right w:w="120" w:type="dxa"/>
            </w:tcMar>
          </w:tcPr>
          <w:p w14:paraId="6C9D823F" w14:textId="77777777" w:rsidR="0099437E" w:rsidRPr="003D7036" w:rsidRDefault="00E63A4C">
            <w:pPr>
              <w:spacing w:after="40"/>
              <w:rPr>
                <w:lang w:val="en-US"/>
              </w:rPr>
            </w:pPr>
            <w:r w:rsidRPr="003D7036">
              <w:rPr>
                <w:color w:val="262626"/>
                <w:sz w:val="20"/>
                <w:szCs w:val="20"/>
                <w:lang w:val="en-US"/>
              </w:rPr>
              <w:t>Easy to explain to enterprises; community gets a complete working product.</w:t>
            </w:r>
          </w:p>
        </w:tc>
        <w:tc>
          <w:tcPr>
            <w:tcW w:w="2000" w:type="dxa"/>
            <w:tcMar>
              <w:top w:w="100" w:type="dxa"/>
              <w:left w:w="120" w:type="dxa"/>
              <w:bottom w:w="100" w:type="dxa"/>
              <w:right w:w="120" w:type="dxa"/>
            </w:tcMar>
          </w:tcPr>
          <w:p w14:paraId="719AA504" w14:textId="77777777" w:rsidR="0099437E" w:rsidRPr="003D7036" w:rsidRDefault="00E63A4C">
            <w:pPr>
              <w:spacing w:after="40"/>
              <w:rPr>
                <w:lang w:val="en-US"/>
              </w:rPr>
            </w:pPr>
            <w:r w:rsidRPr="003D7036">
              <w:rPr>
                <w:color w:val="262626"/>
                <w:sz w:val="20"/>
                <w:szCs w:val="20"/>
                <w:lang w:val="en-US"/>
              </w:rPr>
              <w:t>The most valuable bundles (B14–B19) would be open-source, allowing competitors to re-implement the moat from the spec an</w:t>
            </w:r>
            <w:r w:rsidRPr="003D7036">
              <w:rPr>
                <w:color w:val="262626"/>
                <w:sz w:val="20"/>
                <w:szCs w:val="20"/>
                <w:lang w:val="en-US"/>
              </w:rPr>
              <w:t>d erasing the technical differentiator.</w:t>
            </w:r>
          </w:p>
        </w:tc>
      </w:tr>
      <w:tr w:rsidR="0099437E" w:rsidRPr="003D7036" w14:paraId="284CD1F2" w14:textId="77777777">
        <w:tblPrEx>
          <w:tblCellMar>
            <w:top w:w="0" w:type="dxa"/>
            <w:bottom w:w="0" w:type="dxa"/>
          </w:tblCellMar>
        </w:tblPrEx>
        <w:tc>
          <w:tcPr>
            <w:tcW w:w="2000" w:type="dxa"/>
            <w:shd w:val="clear" w:color="auto" w:fill="E2EFDA"/>
            <w:tcMar>
              <w:top w:w="100" w:type="dxa"/>
              <w:left w:w="120" w:type="dxa"/>
              <w:bottom w:w="100" w:type="dxa"/>
              <w:right w:w="120" w:type="dxa"/>
            </w:tcMar>
          </w:tcPr>
          <w:p w14:paraId="6D7C1B9A" w14:textId="77777777" w:rsidR="0099437E" w:rsidRPr="003D7036" w:rsidRDefault="00E63A4C">
            <w:pPr>
              <w:spacing w:after="40"/>
              <w:rPr>
                <w:lang w:val="en-US"/>
              </w:rPr>
            </w:pPr>
            <w:r w:rsidRPr="003D7036">
              <w:rPr>
                <w:b/>
                <w:bCs/>
                <w:color w:val="262626"/>
                <w:sz w:val="20"/>
                <w:szCs w:val="20"/>
                <w:lang w:val="en-US"/>
              </w:rPr>
              <w:t>2. Vertical split with API of intelligence</w:t>
            </w:r>
          </w:p>
        </w:tc>
        <w:tc>
          <w:tcPr>
            <w:tcW w:w="2000" w:type="dxa"/>
            <w:shd w:val="clear" w:color="auto" w:fill="E2EFDA"/>
            <w:tcMar>
              <w:top w:w="100" w:type="dxa"/>
              <w:left w:w="120" w:type="dxa"/>
              <w:bottom w:w="100" w:type="dxa"/>
              <w:right w:w="120" w:type="dxa"/>
            </w:tcMar>
          </w:tcPr>
          <w:p w14:paraId="4D3BDE47" w14:textId="77777777" w:rsidR="0099437E" w:rsidRPr="003D7036" w:rsidRDefault="00E63A4C">
            <w:pPr>
              <w:spacing w:after="40"/>
              <w:rPr>
                <w:lang w:val="en-US"/>
              </w:rPr>
            </w:pPr>
            <w:r w:rsidRPr="003D7036">
              <w:rPr>
                <w:color w:val="262626"/>
                <w:sz w:val="20"/>
                <w:szCs w:val="20"/>
                <w:lang w:val="en-US"/>
              </w:rPr>
              <w:t>Sentry SaaS, Grafana Cloud, current GitLab</w:t>
            </w:r>
          </w:p>
        </w:tc>
        <w:tc>
          <w:tcPr>
            <w:tcW w:w="2000" w:type="dxa"/>
            <w:shd w:val="clear" w:color="auto" w:fill="E2EFDA"/>
            <w:tcMar>
              <w:top w:w="100" w:type="dxa"/>
              <w:left w:w="120" w:type="dxa"/>
              <w:bottom w:w="100" w:type="dxa"/>
              <w:right w:w="120" w:type="dxa"/>
            </w:tcMar>
          </w:tcPr>
          <w:p w14:paraId="0CCB2309" w14:textId="77777777" w:rsidR="0099437E" w:rsidRPr="003D7036" w:rsidRDefault="00E63A4C">
            <w:pPr>
              <w:spacing w:after="40"/>
              <w:rPr>
                <w:lang w:val="en-US"/>
              </w:rPr>
            </w:pPr>
            <w:r w:rsidRPr="003D7036">
              <w:rPr>
                <w:color w:val="262626"/>
                <w:sz w:val="20"/>
                <w:szCs w:val="20"/>
                <w:lang w:val="en-US"/>
              </w:rPr>
              <w:t>Moat is the continuous operation of intelligence, not the code. Impossible to replicate without operating equivalent infrastructure for years.</w:t>
            </w:r>
          </w:p>
        </w:tc>
        <w:tc>
          <w:tcPr>
            <w:tcW w:w="2000" w:type="dxa"/>
            <w:shd w:val="clear" w:color="auto" w:fill="E2EFDA"/>
            <w:tcMar>
              <w:top w:w="100" w:type="dxa"/>
              <w:left w:w="120" w:type="dxa"/>
              <w:bottom w:w="100" w:type="dxa"/>
              <w:right w:w="120" w:type="dxa"/>
            </w:tcMar>
          </w:tcPr>
          <w:p w14:paraId="680BD08E" w14:textId="1449064B" w:rsidR="0099437E" w:rsidRPr="003D7036" w:rsidRDefault="00E63A4C">
            <w:pPr>
              <w:spacing w:after="40"/>
              <w:rPr>
                <w:lang w:val="en-US"/>
              </w:rPr>
            </w:pPr>
            <w:r w:rsidRPr="003D7036">
              <w:rPr>
                <w:color w:val="262626"/>
                <w:sz w:val="20"/>
                <w:szCs w:val="20"/>
                <w:lang w:val="en-US"/>
              </w:rPr>
              <w:t>Requires real backend operation. Sinergia must commit to running api.arhiax.</w:t>
            </w:r>
            <w:r w:rsidR="003D7036">
              <w:rPr>
                <w:color w:val="262626"/>
                <w:sz w:val="20"/>
                <w:szCs w:val="20"/>
                <w:lang w:val="en-US"/>
              </w:rPr>
              <w:t>org</w:t>
            </w:r>
            <w:r w:rsidRPr="003D7036">
              <w:rPr>
                <w:color w:val="262626"/>
                <w:sz w:val="20"/>
                <w:szCs w:val="20"/>
                <w:lang w:val="en-US"/>
              </w:rPr>
              <w:t xml:space="preserve"> with SLA and signed updates as a </w:t>
            </w:r>
            <w:r w:rsidRPr="003D7036">
              <w:rPr>
                <w:color w:val="262626"/>
                <w:sz w:val="20"/>
                <w:szCs w:val="20"/>
                <w:lang w:val="en-US"/>
              </w:rPr>
              <w:t>permanent service.</w:t>
            </w:r>
          </w:p>
        </w:tc>
      </w:tr>
      <w:tr w:rsidR="0099437E" w14:paraId="011BB064" w14:textId="77777777">
        <w:tblPrEx>
          <w:tblCellMar>
            <w:top w:w="0" w:type="dxa"/>
            <w:bottom w:w="0" w:type="dxa"/>
          </w:tblCellMar>
        </w:tblPrEx>
        <w:tc>
          <w:tcPr>
            <w:tcW w:w="2000" w:type="dxa"/>
            <w:tcMar>
              <w:top w:w="100" w:type="dxa"/>
              <w:left w:w="120" w:type="dxa"/>
              <w:bottom w:w="100" w:type="dxa"/>
              <w:right w:w="120" w:type="dxa"/>
            </w:tcMar>
          </w:tcPr>
          <w:p w14:paraId="261EFC25" w14:textId="77777777" w:rsidR="0099437E" w:rsidRDefault="00E63A4C">
            <w:pPr>
              <w:spacing w:after="40"/>
            </w:pPr>
            <w:r>
              <w:rPr>
                <w:b/>
                <w:bCs/>
                <w:color w:val="262626"/>
                <w:sz w:val="20"/>
                <w:szCs w:val="20"/>
              </w:rPr>
              <w:t>3. Temporal split (BSL)</w:t>
            </w:r>
          </w:p>
        </w:tc>
        <w:tc>
          <w:tcPr>
            <w:tcW w:w="2000" w:type="dxa"/>
            <w:tcMar>
              <w:top w:w="100" w:type="dxa"/>
              <w:left w:w="120" w:type="dxa"/>
              <w:bottom w:w="100" w:type="dxa"/>
              <w:right w:w="120" w:type="dxa"/>
            </w:tcMar>
          </w:tcPr>
          <w:p w14:paraId="0DBBD902" w14:textId="77777777" w:rsidR="0099437E" w:rsidRPr="003D7036" w:rsidRDefault="00E63A4C">
            <w:pPr>
              <w:spacing w:after="40"/>
              <w:rPr>
                <w:lang w:val="en-US"/>
              </w:rPr>
            </w:pPr>
            <w:r w:rsidRPr="003D7036">
              <w:rPr>
                <w:color w:val="262626"/>
                <w:sz w:val="20"/>
                <w:szCs w:val="20"/>
                <w:lang w:val="en-US"/>
              </w:rPr>
              <w:t>MariaDB, CockroachDB, Sentry, HashiCorp post-2023</w:t>
            </w:r>
          </w:p>
        </w:tc>
        <w:tc>
          <w:tcPr>
            <w:tcW w:w="2000" w:type="dxa"/>
            <w:tcMar>
              <w:top w:w="100" w:type="dxa"/>
              <w:left w:w="120" w:type="dxa"/>
              <w:bottom w:w="100" w:type="dxa"/>
              <w:right w:w="120" w:type="dxa"/>
            </w:tcMar>
          </w:tcPr>
          <w:p w14:paraId="7A80D2BA" w14:textId="77777777" w:rsidR="0099437E" w:rsidRPr="003D7036" w:rsidRDefault="00E63A4C">
            <w:pPr>
              <w:spacing w:after="40"/>
              <w:rPr>
                <w:lang w:val="en-US"/>
              </w:rPr>
            </w:pPr>
            <w:r w:rsidRPr="003D7036">
              <w:rPr>
                <w:color w:val="262626"/>
                <w:sz w:val="20"/>
                <w:szCs w:val="20"/>
                <w:lang w:val="en-US"/>
              </w:rPr>
              <w:t>All code visible from day one; competitors blocked from operating competing services.</w:t>
            </w:r>
          </w:p>
        </w:tc>
        <w:tc>
          <w:tcPr>
            <w:tcW w:w="2000" w:type="dxa"/>
            <w:tcMar>
              <w:top w:w="100" w:type="dxa"/>
              <w:left w:w="120" w:type="dxa"/>
              <w:bottom w:w="100" w:type="dxa"/>
              <w:right w:w="120" w:type="dxa"/>
            </w:tcMar>
          </w:tcPr>
          <w:p w14:paraId="3B2121D5" w14:textId="77777777" w:rsidR="0099437E" w:rsidRDefault="00E63A4C">
            <w:pPr>
              <w:spacing w:after="40"/>
            </w:pPr>
            <w:r w:rsidRPr="003D7036">
              <w:rPr>
                <w:color w:val="262626"/>
                <w:sz w:val="20"/>
                <w:szCs w:val="20"/>
                <w:lang w:val="en-US"/>
              </w:rPr>
              <w:t xml:space="preserve">BSL is not OSI-approved. Several enterprise procurement teams cannot adopt non-OSI licenses. </w:t>
            </w:r>
            <w:r>
              <w:rPr>
                <w:color w:val="262626"/>
                <w:sz w:val="20"/>
                <w:szCs w:val="20"/>
              </w:rPr>
              <w:t>Hostile to academic adoption.</w:t>
            </w:r>
          </w:p>
        </w:tc>
      </w:tr>
      <w:tr w:rsidR="0099437E" w:rsidRPr="003D7036" w14:paraId="50E62D55" w14:textId="77777777">
        <w:tblPrEx>
          <w:tblCellMar>
            <w:top w:w="0" w:type="dxa"/>
            <w:bottom w:w="0" w:type="dxa"/>
          </w:tblCellMar>
        </w:tblPrEx>
        <w:tc>
          <w:tcPr>
            <w:tcW w:w="2000" w:type="dxa"/>
            <w:tcMar>
              <w:top w:w="100" w:type="dxa"/>
              <w:left w:w="120" w:type="dxa"/>
              <w:bottom w:w="100" w:type="dxa"/>
              <w:right w:w="120" w:type="dxa"/>
            </w:tcMar>
          </w:tcPr>
          <w:p w14:paraId="1E4A8ECC" w14:textId="77777777" w:rsidR="0099437E" w:rsidRDefault="00E63A4C">
            <w:pPr>
              <w:spacing w:after="40"/>
            </w:pPr>
            <w:r>
              <w:rPr>
                <w:b/>
                <w:bCs/>
                <w:color w:val="262626"/>
                <w:sz w:val="20"/>
                <w:szCs w:val="20"/>
              </w:rPr>
              <w:t>4. Dual licensing AGPL/commercial</w:t>
            </w:r>
          </w:p>
        </w:tc>
        <w:tc>
          <w:tcPr>
            <w:tcW w:w="2000" w:type="dxa"/>
            <w:tcMar>
              <w:top w:w="100" w:type="dxa"/>
              <w:left w:w="120" w:type="dxa"/>
              <w:bottom w:w="100" w:type="dxa"/>
              <w:right w:w="120" w:type="dxa"/>
            </w:tcMar>
          </w:tcPr>
          <w:p w14:paraId="2D54F0DE" w14:textId="77777777" w:rsidR="0099437E" w:rsidRDefault="00E63A4C">
            <w:pPr>
              <w:spacing w:after="40"/>
            </w:pPr>
            <w:r>
              <w:rPr>
                <w:color w:val="262626"/>
                <w:sz w:val="20"/>
                <w:szCs w:val="20"/>
              </w:rPr>
              <w:t>MongoDB pre-</w:t>
            </w:r>
            <w:r>
              <w:rPr>
                <w:color w:val="262626"/>
                <w:sz w:val="20"/>
                <w:szCs w:val="20"/>
              </w:rPr>
              <w:t>2018, Qt, MySQL</w:t>
            </w:r>
          </w:p>
        </w:tc>
        <w:tc>
          <w:tcPr>
            <w:tcW w:w="2000" w:type="dxa"/>
            <w:tcMar>
              <w:top w:w="100" w:type="dxa"/>
              <w:left w:w="120" w:type="dxa"/>
              <w:bottom w:w="100" w:type="dxa"/>
              <w:right w:w="120" w:type="dxa"/>
            </w:tcMar>
          </w:tcPr>
          <w:p w14:paraId="2EA941F0" w14:textId="77777777" w:rsidR="0099437E" w:rsidRPr="003D7036" w:rsidRDefault="00E63A4C">
            <w:pPr>
              <w:spacing w:after="40"/>
              <w:rPr>
                <w:lang w:val="en-US"/>
              </w:rPr>
            </w:pPr>
            <w:r w:rsidRPr="003D7036">
              <w:rPr>
                <w:color w:val="262626"/>
                <w:sz w:val="20"/>
                <w:szCs w:val="20"/>
                <w:lang w:val="en-US"/>
              </w:rPr>
              <w:t>Single codebase; enterprises pay to escape AGPL obligations.</w:t>
            </w:r>
          </w:p>
        </w:tc>
        <w:tc>
          <w:tcPr>
            <w:tcW w:w="2000" w:type="dxa"/>
            <w:tcMar>
              <w:top w:w="100" w:type="dxa"/>
              <w:left w:w="120" w:type="dxa"/>
              <w:bottom w:w="100" w:type="dxa"/>
              <w:right w:w="120" w:type="dxa"/>
            </w:tcMar>
          </w:tcPr>
          <w:p w14:paraId="2E5368BF" w14:textId="77777777" w:rsidR="0099437E" w:rsidRPr="003D7036" w:rsidRDefault="00E63A4C">
            <w:pPr>
              <w:spacing w:after="40"/>
              <w:rPr>
                <w:lang w:val="en-US"/>
              </w:rPr>
            </w:pPr>
            <w:r w:rsidRPr="003D7036">
              <w:rPr>
                <w:color w:val="262626"/>
                <w:sz w:val="20"/>
                <w:szCs w:val="20"/>
                <w:lang w:val="en-US"/>
              </w:rPr>
              <w:t>AGPL frightens enterprise legal teams and slows adoption; competitors can fork and offer commercial-license-equivalent terms.</w:t>
            </w:r>
          </w:p>
        </w:tc>
      </w:tr>
    </w:tbl>
    <w:p w14:paraId="2965F214" w14:textId="77777777" w:rsidR="0099437E" w:rsidRPr="003D7036" w:rsidRDefault="00E63A4C">
      <w:pPr>
        <w:pStyle w:val="Ttulo2"/>
        <w:rPr>
          <w:lang w:val="en-US"/>
        </w:rPr>
      </w:pPr>
      <w:r w:rsidRPr="003D7036">
        <w:rPr>
          <w:lang w:val="en-US"/>
        </w:rPr>
        <w:t>2.2. The chosen model: vertical split with API of in</w:t>
      </w:r>
      <w:r w:rsidRPr="003D7036">
        <w:rPr>
          <w:lang w:val="en-US"/>
        </w:rPr>
        <w:t>telligence</w:t>
      </w:r>
    </w:p>
    <w:p w14:paraId="4704C37B" w14:textId="77777777" w:rsidR="0099437E" w:rsidRDefault="00E63A4C">
      <w:pPr>
        <w:spacing w:after="140" w:line="300" w:lineRule="auto"/>
        <w:jc w:val="both"/>
      </w:pPr>
      <w:r w:rsidRPr="003D7036">
        <w:rPr>
          <w:color w:val="262626"/>
          <w:lang w:val="en-US"/>
        </w:rPr>
        <w:t xml:space="preserve">Model 2 is selected, with one element of model 3 layered on top: a small set of "enterprise-only" bundles that remain proprietary even as the runtime that loads them is open-source. </w:t>
      </w:r>
      <w:r>
        <w:rPr>
          <w:color w:val="262626"/>
        </w:rPr>
        <w:t>The combined model has three layers of value capture:</w:t>
      </w:r>
    </w:p>
    <w:p w14:paraId="1CCC13D6" w14:textId="77777777" w:rsidR="0099437E" w:rsidRDefault="00E63A4C">
      <w:pPr>
        <w:pStyle w:val="Prrafodelista"/>
        <w:numPr>
          <w:ilvl w:val="0"/>
          <w:numId w:val="1"/>
        </w:numPr>
        <w:spacing w:after="80"/>
      </w:pPr>
      <w:r w:rsidRPr="003D7036">
        <w:rPr>
          <w:color w:val="262626"/>
          <w:lang w:val="en-US"/>
        </w:rPr>
        <w:t>Layer one</w:t>
      </w:r>
      <w:r w:rsidRPr="003D7036">
        <w:rPr>
          <w:color w:val="262626"/>
          <w:lang w:val="en-US"/>
        </w:rPr>
        <w:t xml:space="preserve"> — the open-source runtime under Apache 2.0. This is the entire ATK service, the 13 runtime bundles (B01 through B13), all hardened production clients, the Helm chart, the demo scenarios, the test suite, and the seven master specification documents. A comm</w:t>
      </w:r>
      <w:r w:rsidRPr="003D7036">
        <w:rPr>
          <w:color w:val="262626"/>
          <w:lang w:val="en-US"/>
        </w:rPr>
        <w:t xml:space="preserve">unity user can deploy ARHIAX in production with this layer alone and obtain a working governance system. </w:t>
      </w:r>
      <w:r w:rsidRPr="003D7036">
        <w:rPr>
          <w:color w:val="262626"/>
          <w:lang w:val="en-US"/>
        </w:rPr>
        <w:lastRenderedPageBreak/>
        <w:t xml:space="preserve">There is no nag-ware, no feature paywall in the runtime, no time-limited trial. </w:t>
      </w:r>
      <w:r>
        <w:rPr>
          <w:color w:val="262626"/>
        </w:rPr>
        <w:t>The community edition is genuinely production-grade.</w:t>
      </w:r>
    </w:p>
    <w:p w14:paraId="5C21BD86" w14:textId="77777777" w:rsidR="0099437E" w:rsidRPr="003D7036" w:rsidRDefault="00E63A4C">
      <w:pPr>
        <w:pStyle w:val="Prrafodelista"/>
        <w:numPr>
          <w:ilvl w:val="0"/>
          <w:numId w:val="1"/>
        </w:numPr>
        <w:spacing w:after="80"/>
        <w:rPr>
          <w:lang w:val="en-US"/>
        </w:rPr>
      </w:pPr>
      <w:r w:rsidRPr="003D7036">
        <w:rPr>
          <w:color w:val="262626"/>
          <w:lang w:val="en-US"/>
        </w:rPr>
        <w:t>Layer two — the si</w:t>
      </w:r>
      <w:r w:rsidRPr="003D7036">
        <w:rPr>
          <w:color w:val="262626"/>
          <w:lang w:val="en-US"/>
        </w:rPr>
        <w:t>x enterprise bundles (B14 through B19) under commercial license. These cover identity management, agent lifecycle, permissions, audit trail completeness, incident response coordination, and change management. Together they constitute the auditable governan</w:t>
      </w:r>
      <w:r w:rsidRPr="003D7036">
        <w:rPr>
          <w:color w:val="262626"/>
          <w:lang w:val="en-US"/>
        </w:rPr>
        <w:t>ce layer that converts ARHIAX from a "policy execution engine" into an "auditable governance runtime suitable for regulatory environments". Enterprises in regulated verticals (financial services, healthcare, port logistics, government) require this layer t</w:t>
      </w:r>
      <w:r w:rsidRPr="003D7036">
        <w:rPr>
          <w:color w:val="262626"/>
          <w:lang w:val="en-US"/>
        </w:rPr>
        <w:t>o satisfy auditors; the community edition is sufficient for non-regulated experimentation and academic research.</w:t>
      </w:r>
    </w:p>
    <w:p w14:paraId="1570B425" w14:textId="3272055F" w:rsidR="0099437E" w:rsidRDefault="00E63A4C">
      <w:pPr>
        <w:pStyle w:val="Prrafodelista"/>
        <w:numPr>
          <w:ilvl w:val="0"/>
          <w:numId w:val="1"/>
        </w:numPr>
        <w:spacing w:after="80"/>
      </w:pPr>
      <w:r w:rsidRPr="003D7036">
        <w:rPr>
          <w:color w:val="262626"/>
          <w:lang w:val="en-US"/>
        </w:rPr>
        <w:t>Layer three — the API of intelligence at api.arhiax.</w:t>
      </w:r>
      <w:r w:rsidR="008B028F">
        <w:rPr>
          <w:color w:val="262626"/>
          <w:lang w:val="en-US"/>
        </w:rPr>
        <w:t>org</w:t>
      </w:r>
      <w:r w:rsidRPr="003D7036">
        <w:rPr>
          <w:color w:val="262626"/>
          <w:lang w:val="en-US"/>
        </w:rPr>
        <w:t xml:space="preserve"> under commercial subscription. This is the operational service that keeps the enterprise edition current: signed bundle updates when new threat patterns emerge, behavioral baselines pre-trained per ve</w:t>
      </w:r>
      <w:r w:rsidRPr="003D7036">
        <w:rPr>
          <w:color w:val="262626"/>
          <w:lang w:val="en-US"/>
        </w:rPr>
        <w:t>rtical, prompt injection signature feeds, crosswalk updates as external frameworks evolve, and attestation verification for post-incident forensics. The API is the durable moat because it requires Sinergia to operate continuously with a team of analysts an</w:t>
      </w:r>
      <w:r w:rsidRPr="003D7036">
        <w:rPr>
          <w:color w:val="262626"/>
          <w:lang w:val="en-US"/>
        </w:rPr>
        <w:t xml:space="preserve">d threat researchers. </w:t>
      </w:r>
      <w:r>
        <w:rPr>
          <w:color w:val="262626"/>
        </w:rPr>
        <w:t>It cannot be replicated by code alone.</w:t>
      </w:r>
    </w:p>
    <w:p w14:paraId="1FBBA997" w14:textId="77777777" w:rsidR="0099437E" w:rsidRPr="003D7036" w:rsidRDefault="00E63A4C">
      <w:pPr>
        <w:pStyle w:val="Ttulo2"/>
        <w:rPr>
          <w:lang w:val="en-US"/>
        </w:rPr>
      </w:pPr>
      <w:r w:rsidRPr="003D7036">
        <w:rPr>
          <w:lang w:val="en-US"/>
        </w:rPr>
        <w:t>2.3. Why this serves both audiences without compromise</w:t>
      </w:r>
    </w:p>
    <w:p w14:paraId="7D65B788" w14:textId="77777777" w:rsidR="0099437E" w:rsidRPr="003D7036" w:rsidRDefault="00E63A4C">
      <w:pPr>
        <w:spacing w:after="140" w:line="300" w:lineRule="auto"/>
        <w:jc w:val="both"/>
        <w:rPr>
          <w:lang w:val="en-US"/>
        </w:rPr>
      </w:pPr>
      <w:r w:rsidRPr="003D7036">
        <w:rPr>
          <w:color w:val="262626"/>
          <w:lang w:val="en-US"/>
        </w:rPr>
        <w:t>The community-academic-regulator audience and the enterprise-buyer audience have orthogonal needs. The first wants verifiable code, frozen s</w:t>
      </w:r>
      <w:r w:rsidRPr="003D7036">
        <w:rPr>
          <w:color w:val="262626"/>
          <w:lang w:val="en-US"/>
        </w:rPr>
        <w:t xml:space="preserve">pecifications, reproducible experiments, and the right to fork. The second wants operational guarantees, regulatory coverage, signed updates, and someone to call when things break. Most open-core projects fail because they try to serve both audiences with </w:t>
      </w:r>
      <w:r w:rsidRPr="003D7036">
        <w:rPr>
          <w:color w:val="262626"/>
          <w:lang w:val="en-US"/>
        </w:rPr>
        <w:t>the same artifact and end up with a community edition that is intentionally crippled (annoying everyone) or a commercial edition that adds nothing the community could not build (unsustainable).</w:t>
      </w:r>
    </w:p>
    <w:p w14:paraId="423EC6A8" w14:textId="77777777" w:rsidR="0099437E" w:rsidRPr="003D7036" w:rsidRDefault="00E63A4C">
      <w:pPr>
        <w:spacing w:after="140" w:line="300" w:lineRule="auto"/>
        <w:jc w:val="both"/>
        <w:rPr>
          <w:lang w:val="en-US"/>
        </w:rPr>
      </w:pPr>
      <w:r w:rsidRPr="003D7036">
        <w:rPr>
          <w:color w:val="262626"/>
          <w:lang w:val="en-US"/>
        </w:rPr>
        <w:t>The vertical split with API of intelligence avoids both failure modes. The community edition is a complete, uncompromised production runtime with no hidden limitations. Researchers can publish papers using it, regulators can audit it, and small enterprises</w:t>
      </w:r>
      <w:r w:rsidRPr="003D7036">
        <w:rPr>
          <w:color w:val="262626"/>
          <w:lang w:val="en-US"/>
        </w:rPr>
        <w:t xml:space="preserve"> can run it in non-regulated contexts. The enterprise edition adds two distinct things that the community cannot build itself even with full source access: bundles whose value comes from continuous threat research and policy maintenance, and an operational</w:t>
      </w:r>
      <w:r w:rsidRPr="003D7036">
        <w:rPr>
          <w:color w:val="262626"/>
          <w:lang w:val="en-US"/>
        </w:rPr>
        <w:t xml:space="preserve"> service whose value comes from years of accumulated baselines. Neither is a feature flag, neither is a usage limit, neither is artificially withheld functionality.</w:t>
      </w:r>
    </w:p>
    <w:p w14:paraId="7D57E462" w14:textId="77777777" w:rsidR="0099437E" w:rsidRPr="003D7036" w:rsidRDefault="00E63A4C">
      <w:pPr>
        <w:rPr>
          <w:lang w:val="en-US"/>
        </w:rPr>
      </w:pPr>
      <w:r w:rsidRPr="003D7036">
        <w:rPr>
          <w:lang w:val="en-US"/>
        </w:rPr>
        <w:br w:type="page"/>
      </w:r>
    </w:p>
    <w:p w14:paraId="2FE17D23" w14:textId="77777777" w:rsidR="0099437E" w:rsidRPr="003D7036" w:rsidRDefault="00E63A4C">
      <w:pPr>
        <w:pStyle w:val="Ttulo1"/>
        <w:rPr>
          <w:lang w:val="en-US"/>
        </w:rPr>
      </w:pPr>
      <w:r w:rsidRPr="003D7036">
        <w:rPr>
          <w:lang w:val="en-US"/>
        </w:rPr>
        <w:lastRenderedPageBreak/>
        <w:t>3. Line of Demarcation: Public vs Enterprise</w:t>
      </w:r>
    </w:p>
    <w:p w14:paraId="788A732A" w14:textId="77777777" w:rsidR="0099437E" w:rsidRPr="003D7036" w:rsidRDefault="00E63A4C">
      <w:pPr>
        <w:spacing w:after="140" w:line="300" w:lineRule="auto"/>
        <w:jc w:val="both"/>
        <w:rPr>
          <w:lang w:val="en-US"/>
        </w:rPr>
      </w:pPr>
      <w:r w:rsidRPr="003D7036">
        <w:rPr>
          <w:color w:val="262626"/>
          <w:lang w:val="en-US"/>
        </w:rPr>
        <w:t xml:space="preserve">This section is the canonical reference for </w:t>
      </w:r>
      <w:r w:rsidRPr="003D7036">
        <w:rPr>
          <w:color w:val="262626"/>
          <w:lang w:val="en-US"/>
        </w:rPr>
        <w:t>what is in the Community edition and what is in the Enterprise edition. Any future ambiguity is resolved by this table.</w:t>
      </w:r>
    </w:p>
    <w:p w14:paraId="72710F16" w14:textId="77777777" w:rsidR="0099437E" w:rsidRPr="003D7036" w:rsidRDefault="00E63A4C">
      <w:pPr>
        <w:pStyle w:val="Ttulo2"/>
        <w:rPr>
          <w:lang w:val="en-US"/>
        </w:rPr>
      </w:pPr>
      <w:r w:rsidRPr="003D7036">
        <w:rPr>
          <w:lang w:val="en-US"/>
        </w:rPr>
        <w:t>3.1. Specifications (documents)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0"/>
        <w:gridCol w:w="2031"/>
        <w:gridCol w:w="1949"/>
      </w:tblGrid>
      <w:tr w:rsidR="0099437E" w14:paraId="716DE998" w14:textId="77777777">
        <w:tblPrEx>
          <w:tblCellMar>
            <w:top w:w="0" w:type="dxa"/>
            <w:bottom w:w="0" w:type="dxa"/>
          </w:tblCellMar>
        </w:tblPrEx>
        <w:trPr>
          <w:tblHeader/>
        </w:trPr>
        <w:tc>
          <w:tcPr>
            <w:tcW w:w="5500" w:type="dxa"/>
            <w:shd w:val="clear" w:color="auto" w:fill="1F3864"/>
            <w:tcMar>
              <w:top w:w="100" w:type="dxa"/>
              <w:left w:w="120" w:type="dxa"/>
              <w:bottom w:w="100" w:type="dxa"/>
              <w:right w:w="120" w:type="dxa"/>
            </w:tcMar>
          </w:tcPr>
          <w:p w14:paraId="765CB081" w14:textId="77777777" w:rsidR="0099437E" w:rsidRDefault="00E63A4C">
            <w:pPr>
              <w:spacing w:after="40"/>
            </w:pPr>
            <w:r>
              <w:rPr>
                <w:b/>
                <w:bCs/>
                <w:color w:val="FFFFFF"/>
                <w:sz w:val="20"/>
                <w:szCs w:val="20"/>
              </w:rPr>
              <w:t>Document</w:t>
            </w:r>
          </w:p>
        </w:tc>
        <w:tc>
          <w:tcPr>
            <w:tcW w:w="2200" w:type="dxa"/>
            <w:shd w:val="clear" w:color="auto" w:fill="1F3864"/>
            <w:tcMar>
              <w:top w:w="100" w:type="dxa"/>
              <w:left w:w="120" w:type="dxa"/>
              <w:bottom w:w="100" w:type="dxa"/>
              <w:right w:w="120" w:type="dxa"/>
            </w:tcMar>
          </w:tcPr>
          <w:p w14:paraId="5CEC4C42" w14:textId="77777777" w:rsidR="0099437E" w:rsidRDefault="00E63A4C">
            <w:pPr>
              <w:spacing w:after="40"/>
            </w:pPr>
            <w:r>
              <w:rPr>
                <w:b/>
                <w:bCs/>
                <w:color w:val="FFFFFF"/>
                <w:sz w:val="20"/>
                <w:szCs w:val="20"/>
              </w:rPr>
              <w:t>Edition</w:t>
            </w:r>
          </w:p>
        </w:tc>
        <w:tc>
          <w:tcPr>
            <w:tcW w:w="2100" w:type="dxa"/>
            <w:shd w:val="clear" w:color="auto" w:fill="1F3864"/>
            <w:tcMar>
              <w:top w:w="100" w:type="dxa"/>
              <w:left w:w="120" w:type="dxa"/>
              <w:bottom w:w="100" w:type="dxa"/>
              <w:right w:w="120" w:type="dxa"/>
            </w:tcMar>
          </w:tcPr>
          <w:p w14:paraId="70366281" w14:textId="77777777" w:rsidR="0099437E" w:rsidRDefault="00E63A4C">
            <w:pPr>
              <w:spacing w:after="40"/>
            </w:pPr>
            <w:r>
              <w:rPr>
                <w:b/>
                <w:bCs/>
                <w:color w:val="FFFFFF"/>
                <w:sz w:val="20"/>
                <w:szCs w:val="20"/>
              </w:rPr>
              <w:t>License</w:t>
            </w:r>
          </w:p>
        </w:tc>
      </w:tr>
      <w:tr w:rsidR="0099437E" w14:paraId="09E5F2F1" w14:textId="77777777">
        <w:tblPrEx>
          <w:tblCellMar>
            <w:top w:w="0" w:type="dxa"/>
            <w:bottom w:w="0" w:type="dxa"/>
          </w:tblCellMar>
        </w:tblPrEx>
        <w:tc>
          <w:tcPr>
            <w:tcW w:w="2000" w:type="dxa"/>
            <w:tcMar>
              <w:top w:w="100" w:type="dxa"/>
              <w:left w:w="120" w:type="dxa"/>
              <w:bottom w:w="100" w:type="dxa"/>
              <w:right w:w="120" w:type="dxa"/>
            </w:tcMar>
          </w:tcPr>
          <w:p w14:paraId="20A75A71" w14:textId="77777777" w:rsidR="0099437E" w:rsidRPr="003D7036" w:rsidRDefault="00E63A4C">
            <w:pPr>
              <w:spacing w:after="40"/>
              <w:rPr>
                <w:lang w:val="en-US"/>
              </w:rPr>
            </w:pPr>
            <w:r w:rsidRPr="003D7036">
              <w:rPr>
                <w:color w:val="262626"/>
                <w:sz w:val="20"/>
                <w:szCs w:val="20"/>
                <w:lang w:val="en-US"/>
              </w:rPr>
              <w:t>ARHIAX_v114_Master_Architecture_EN</w:t>
            </w:r>
          </w:p>
        </w:tc>
        <w:tc>
          <w:tcPr>
            <w:tcW w:w="2000" w:type="dxa"/>
            <w:shd w:val="clear" w:color="auto" w:fill="E2EFDA"/>
            <w:tcMar>
              <w:top w:w="100" w:type="dxa"/>
              <w:left w:w="120" w:type="dxa"/>
              <w:bottom w:w="100" w:type="dxa"/>
              <w:right w:w="120" w:type="dxa"/>
            </w:tcMar>
          </w:tcPr>
          <w:p w14:paraId="4F455C05"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32E803C9" w14:textId="77777777" w:rsidR="0099437E" w:rsidRDefault="00E63A4C">
            <w:pPr>
              <w:spacing w:after="40"/>
            </w:pPr>
            <w:r>
              <w:rPr>
                <w:color w:val="262626"/>
                <w:sz w:val="20"/>
                <w:szCs w:val="20"/>
              </w:rPr>
              <w:t>CC BY 4.0</w:t>
            </w:r>
          </w:p>
        </w:tc>
      </w:tr>
      <w:tr w:rsidR="0099437E" w14:paraId="508408E0" w14:textId="77777777">
        <w:tblPrEx>
          <w:tblCellMar>
            <w:top w:w="0" w:type="dxa"/>
            <w:bottom w:w="0" w:type="dxa"/>
          </w:tblCellMar>
        </w:tblPrEx>
        <w:tc>
          <w:tcPr>
            <w:tcW w:w="2000" w:type="dxa"/>
            <w:tcMar>
              <w:top w:w="100" w:type="dxa"/>
              <w:left w:w="120" w:type="dxa"/>
              <w:bottom w:w="100" w:type="dxa"/>
              <w:right w:w="120" w:type="dxa"/>
            </w:tcMar>
          </w:tcPr>
          <w:p w14:paraId="55A5AE83" w14:textId="77777777" w:rsidR="0099437E" w:rsidRDefault="00E63A4C">
            <w:pPr>
              <w:spacing w:after="40"/>
            </w:pPr>
            <w:r>
              <w:rPr>
                <w:color w:val="262626"/>
                <w:sz w:val="20"/>
                <w:szCs w:val="20"/>
              </w:rPr>
              <w:t>ARHIAX_v114_Whitepaper_EN</w:t>
            </w:r>
          </w:p>
        </w:tc>
        <w:tc>
          <w:tcPr>
            <w:tcW w:w="2000" w:type="dxa"/>
            <w:shd w:val="clear" w:color="auto" w:fill="E2EFDA"/>
            <w:tcMar>
              <w:top w:w="100" w:type="dxa"/>
              <w:left w:w="120" w:type="dxa"/>
              <w:bottom w:w="100" w:type="dxa"/>
              <w:right w:w="120" w:type="dxa"/>
            </w:tcMar>
          </w:tcPr>
          <w:p w14:paraId="5024C2D0"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2D527CA1" w14:textId="77777777" w:rsidR="0099437E" w:rsidRDefault="00E63A4C">
            <w:pPr>
              <w:spacing w:after="40"/>
            </w:pPr>
            <w:r>
              <w:rPr>
                <w:color w:val="262626"/>
                <w:sz w:val="20"/>
                <w:szCs w:val="20"/>
              </w:rPr>
              <w:t>CC BY 4.0</w:t>
            </w:r>
          </w:p>
        </w:tc>
      </w:tr>
      <w:tr w:rsidR="0099437E" w14:paraId="3088BFB2" w14:textId="77777777">
        <w:tblPrEx>
          <w:tblCellMar>
            <w:top w:w="0" w:type="dxa"/>
            <w:bottom w:w="0" w:type="dxa"/>
          </w:tblCellMar>
        </w:tblPrEx>
        <w:tc>
          <w:tcPr>
            <w:tcW w:w="2000" w:type="dxa"/>
            <w:tcMar>
              <w:top w:w="100" w:type="dxa"/>
              <w:left w:w="120" w:type="dxa"/>
              <w:bottom w:w="100" w:type="dxa"/>
              <w:right w:w="120" w:type="dxa"/>
            </w:tcMar>
          </w:tcPr>
          <w:p w14:paraId="745551CA" w14:textId="77777777" w:rsidR="0099437E" w:rsidRDefault="00E63A4C">
            <w:pPr>
              <w:spacing w:after="40"/>
            </w:pPr>
            <w:r>
              <w:rPr>
                <w:color w:val="262626"/>
                <w:sz w:val="20"/>
                <w:szCs w:val="20"/>
              </w:rPr>
              <w:t>ARHIAX_v114_36_Controles_Gobernanza_MultiAgente</w:t>
            </w:r>
          </w:p>
        </w:tc>
        <w:tc>
          <w:tcPr>
            <w:tcW w:w="2000" w:type="dxa"/>
            <w:shd w:val="clear" w:color="auto" w:fill="E2EFDA"/>
            <w:tcMar>
              <w:top w:w="100" w:type="dxa"/>
              <w:left w:w="120" w:type="dxa"/>
              <w:bottom w:w="100" w:type="dxa"/>
              <w:right w:w="120" w:type="dxa"/>
            </w:tcMar>
          </w:tcPr>
          <w:p w14:paraId="082F991D"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2511A236" w14:textId="77777777" w:rsidR="0099437E" w:rsidRDefault="00E63A4C">
            <w:pPr>
              <w:spacing w:after="40"/>
            </w:pPr>
            <w:r>
              <w:rPr>
                <w:color w:val="262626"/>
                <w:sz w:val="20"/>
                <w:szCs w:val="20"/>
              </w:rPr>
              <w:t>CC BY 4.0</w:t>
            </w:r>
          </w:p>
        </w:tc>
      </w:tr>
      <w:tr w:rsidR="0099437E" w14:paraId="5A5A6749" w14:textId="77777777">
        <w:tblPrEx>
          <w:tblCellMar>
            <w:top w:w="0" w:type="dxa"/>
            <w:bottom w:w="0" w:type="dxa"/>
          </w:tblCellMar>
        </w:tblPrEx>
        <w:tc>
          <w:tcPr>
            <w:tcW w:w="2000" w:type="dxa"/>
            <w:tcMar>
              <w:top w:w="100" w:type="dxa"/>
              <w:left w:w="120" w:type="dxa"/>
              <w:bottom w:w="100" w:type="dxa"/>
              <w:right w:w="120" w:type="dxa"/>
            </w:tcMar>
          </w:tcPr>
          <w:p w14:paraId="092ECD7C" w14:textId="77777777" w:rsidR="0099437E" w:rsidRDefault="00E63A4C">
            <w:pPr>
              <w:spacing w:after="40"/>
            </w:pPr>
            <w:r>
              <w:rPr>
                <w:color w:val="262626"/>
                <w:sz w:val="20"/>
                <w:szCs w:val="20"/>
              </w:rPr>
              <w:t>ARHIAX_v114_Annex_Compendium_EN</w:t>
            </w:r>
          </w:p>
        </w:tc>
        <w:tc>
          <w:tcPr>
            <w:tcW w:w="2000" w:type="dxa"/>
            <w:shd w:val="clear" w:color="auto" w:fill="E2EFDA"/>
            <w:tcMar>
              <w:top w:w="100" w:type="dxa"/>
              <w:left w:w="120" w:type="dxa"/>
              <w:bottom w:w="100" w:type="dxa"/>
              <w:right w:w="120" w:type="dxa"/>
            </w:tcMar>
          </w:tcPr>
          <w:p w14:paraId="638DBBE7"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4F6E6D0D" w14:textId="77777777" w:rsidR="0099437E" w:rsidRDefault="00E63A4C">
            <w:pPr>
              <w:spacing w:after="40"/>
            </w:pPr>
            <w:r>
              <w:rPr>
                <w:color w:val="262626"/>
                <w:sz w:val="20"/>
                <w:szCs w:val="20"/>
              </w:rPr>
              <w:t>CC BY 4.0</w:t>
            </w:r>
          </w:p>
        </w:tc>
      </w:tr>
      <w:tr w:rsidR="0099437E" w14:paraId="557182C0" w14:textId="77777777">
        <w:tblPrEx>
          <w:tblCellMar>
            <w:top w:w="0" w:type="dxa"/>
            <w:bottom w:w="0" w:type="dxa"/>
          </w:tblCellMar>
        </w:tblPrEx>
        <w:tc>
          <w:tcPr>
            <w:tcW w:w="2000" w:type="dxa"/>
            <w:tcMar>
              <w:top w:w="100" w:type="dxa"/>
              <w:left w:w="120" w:type="dxa"/>
              <w:bottom w:w="100" w:type="dxa"/>
              <w:right w:w="120" w:type="dxa"/>
            </w:tcMar>
          </w:tcPr>
          <w:p w14:paraId="59393402" w14:textId="77777777" w:rsidR="0099437E" w:rsidRPr="003D7036" w:rsidRDefault="00E63A4C">
            <w:pPr>
              <w:spacing w:after="40"/>
              <w:rPr>
                <w:lang w:val="en-US"/>
              </w:rPr>
            </w:pPr>
            <w:r w:rsidRPr="003D7036">
              <w:rPr>
                <w:color w:val="262626"/>
                <w:sz w:val="20"/>
                <w:szCs w:val="20"/>
                <w:lang w:val="en-US"/>
              </w:rPr>
              <w:t>ARHIAX_v114_ATK_Reference_Implementation_Profile</w:t>
            </w:r>
          </w:p>
        </w:tc>
        <w:tc>
          <w:tcPr>
            <w:tcW w:w="2000" w:type="dxa"/>
            <w:shd w:val="clear" w:color="auto" w:fill="E2EFDA"/>
            <w:tcMar>
              <w:top w:w="100" w:type="dxa"/>
              <w:left w:w="120" w:type="dxa"/>
              <w:bottom w:w="100" w:type="dxa"/>
              <w:right w:w="120" w:type="dxa"/>
            </w:tcMar>
          </w:tcPr>
          <w:p w14:paraId="028D1E6D"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7AD4EC13" w14:textId="77777777" w:rsidR="0099437E" w:rsidRDefault="00E63A4C">
            <w:pPr>
              <w:spacing w:after="40"/>
            </w:pPr>
            <w:r>
              <w:rPr>
                <w:color w:val="262626"/>
                <w:sz w:val="20"/>
                <w:szCs w:val="20"/>
              </w:rPr>
              <w:t>CC BY 4.0</w:t>
            </w:r>
          </w:p>
        </w:tc>
      </w:tr>
      <w:tr w:rsidR="0099437E" w14:paraId="6DCF47C9" w14:textId="77777777">
        <w:tblPrEx>
          <w:tblCellMar>
            <w:top w:w="0" w:type="dxa"/>
            <w:bottom w:w="0" w:type="dxa"/>
          </w:tblCellMar>
        </w:tblPrEx>
        <w:tc>
          <w:tcPr>
            <w:tcW w:w="2000" w:type="dxa"/>
            <w:tcMar>
              <w:top w:w="100" w:type="dxa"/>
              <w:left w:w="120" w:type="dxa"/>
              <w:bottom w:w="100" w:type="dxa"/>
              <w:right w:w="120" w:type="dxa"/>
            </w:tcMar>
          </w:tcPr>
          <w:p w14:paraId="7EB1D53D" w14:textId="77777777" w:rsidR="0099437E" w:rsidRPr="003D7036" w:rsidRDefault="00E63A4C">
            <w:pPr>
              <w:spacing w:after="40"/>
              <w:rPr>
                <w:lang w:val="en-US"/>
              </w:rPr>
            </w:pPr>
            <w:r w:rsidRPr="003D7036">
              <w:rPr>
                <w:color w:val="262626"/>
                <w:sz w:val="20"/>
                <w:szCs w:val="20"/>
                <w:lang w:val="en-US"/>
              </w:rPr>
              <w:t>ARHIAX_v114_Remediation_Traceability_Matrix</w:t>
            </w:r>
          </w:p>
        </w:tc>
        <w:tc>
          <w:tcPr>
            <w:tcW w:w="2000" w:type="dxa"/>
            <w:shd w:val="clear" w:color="auto" w:fill="E2EFDA"/>
            <w:tcMar>
              <w:top w:w="100" w:type="dxa"/>
              <w:left w:w="120" w:type="dxa"/>
              <w:bottom w:w="100" w:type="dxa"/>
              <w:right w:w="120" w:type="dxa"/>
            </w:tcMar>
          </w:tcPr>
          <w:p w14:paraId="074E8F08"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6BD1E1C6" w14:textId="77777777" w:rsidR="0099437E" w:rsidRDefault="00E63A4C">
            <w:pPr>
              <w:spacing w:after="40"/>
            </w:pPr>
            <w:r>
              <w:rPr>
                <w:color w:val="262626"/>
                <w:sz w:val="20"/>
                <w:szCs w:val="20"/>
              </w:rPr>
              <w:t>CC BY 4.0</w:t>
            </w:r>
          </w:p>
        </w:tc>
      </w:tr>
      <w:tr w:rsidR="0099437E" w14:paraId="0E7E7C8D" w14:textId="77777777">
        <w:tblPrEx>
          <w:tblCellMar>
            <w:top w:w="0" w:type="dxa"/>
            <w:bottom w:w="0" w:type="dxa"/>
          </w:tblCellMar>
        </w:tblPrEx>
        <w:tc>
          <w:tcPr>
            <w:tcW w:w="2000" w:type="dxa"/>
            <w:tcMar>
              <w:top w:w="100" w:type="dxa"/>
              <w:left w:w="120" w:type="dxa"/>
              <w:bottom w:w="100" w:type="dxa"/>
              <w:right w:w="120" w:type="dxa"/>
            </w:tcMar>
          </w:tcPr>
          <w:p w14:paraId="4401E8B9" w14:textId="77777777" w:rsidR="0099437E" w:rsidRPr="003D7036" w:rsidRDefault="00E63A4C">
            <w:pPr>
              <w:spacing w:after="40"/>
              <w:rPr>
                <w:lang w:val="en-US"/>
              </w:rPr>
            </w:pPr>
            <w:r w:rsidRPr="003D7036">
              <w:rPr>
                <w:color w:val="262626"/>
                <w:sz w:val="20"/>
                <w:szCs w:val="20"/>
                <w:lang w:val="en-US"/>
              </w:rPr>
              <w:t>ARHIAX_v114_Changelog_v113_to_v114</w:t>
            </w:r>
          </w:p>
        </w:tc>
        <w:tc>
          <w:tcPr>
            <w:tcW w:w="2000" w:type="dxa"/>
            <w:shd w:val="clear" w:color="auto" w:fill="E2EFDA"/>
            <w:tcMar>
              <w:top w:w="100" w:type="dxa"/>
              <w:left w:w="120" w:type="dxa"/>
              <w:bottom w:w="100" w:type="dxa"/>
              <w:right w:w="120" w:type="dxa"/>
            </w:tcMar>
          </w:tcPr>
          <w:p w14:paraId="1849E10B"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654B22AF" w14:textId="77777777" w:rsidR="0099437E" w:rsidRDefault="00E63A4C">
            <w:pPr>
              <w:spacing w:after="40"/>
            </w:pPr>
            <w:r>
              <w:rPr>
                <w:color w:val="262626"/>
                <w:sz w:val="20"/>
                <w:szCs w:val="20"/>
              </w:rPr>
              <w:t>CC BY 4.0</w:t>
            </w:r>
          </w:p>
        </w:tc>
      </w:tr>
      <w:tr w:rsidR="0099437E" w14:paraId="60BB38C6" w14:textId="77777777">
        <w:tblPrEx>
          <w:tblCellMar>
            <w:top w:w="0" w:type="dxa"/>
            <w:bottom w:w="0" w:type="dxa"/>
          </w:tblCellMar>
        </w:tblPrEx>
        <w:tc>
          <w:tcPr>
            <w:tcW w:w="2000" w:type="dxa"/>
            <w:tcMar>
              <w:top w:w="100" w:type="dxa"/>
              <w:left w:w="120" w:type="dxa"/>
              <w:bottom w:w="100" w:type="dxa"/>
              <w:right w:w="120" w:type="dxa"/>
            </w:tcMar>
          </w:tcPr>
          <w:p w14:paraId="257CF30F" w14:textId="77777777" w:rsidR="0099437E" w:rsidRDefault="00E63A4C">
            <w:pPr>
              <w:spacing w:after="40"/>
            </w:pPr>
            <w:r>
              <w:rPr>
                <w:color w:val="262626"/>
                <w:sz w:val="20"/>
                <w:szCs w:val="20"/>
              </w:rPr>
              <w:t>ARHIAX_v114_Hoja_de_Ruta_Ruta_C</w:t>
            </w:r>
          </w:p>
        </w:tc>
        <w:tc>
          <w:tcPr>
            <w:tcW w:w="2000" w:type="dxa"/>
            <w:shd w:val="clear" w:color="auto" w:fill="DEEBF7"/>
            <w:tcMar>
              <w:top w:w="100" w:type="dxa"/>
              <w:left w:w="120" w:type="dxa"/>
              <w:bottom w:w="100" w:type="dxa"/>
              <w:right w:w="120" w:type="dxa"/>
            </w:tcMar>
          </w:tcPr>
          <w:p w14:paraId="45854504"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24B577A2" w14:textId="77777777" w:rsidR="0099437E" w:rsidRDefault="00E63A4C">
            <w:pPr>
              <w:spacing w:after="40"/>
            </w:pPr>
            <w:r>
              <w:rPr>
                <w:color w:val="262626"/>
                <w:sz w:val="20"/>
                <w:szCs w:val="20"/>
              </w:rPr>
              <w:t>Commercial</w:t>
            </w:r>
          </w:p>
        </w:tc>
      </w:tr>
      <w:tr w:rsidR="0099437E" w14:paraId="51065740" w14:textId="77777777">
        <w:tblPrEx>
          <w:tblCellMar>
            <w:top w:w="0" w:type="dxa"/>
            <w:bottom w:w="0" w:type="dxa"/>
          </w:tblCellMar>
        </w:tblPrEx>
        <w:tc>
          <w:tcPr>
            <w:tcW w:w="2000" w:type="dxa"/>
            <w:tcMar>
              <w:top w:w="100" w:type="dxa"/>
              <w:left w:w="120" w:type="dxa"/>
              <w:bottom w:w="100" w:type="dxa"/>
              <w:right w:w="120" w:type="dxa"/>
            </w:tcMar>
          </w:tcPr>
          <w:p w14:paraId="097DE33E" w14:textId="77777777" w:rsidR="0099437E" w:rsidRPr="003D7036" w:rsidRDefault="00E63A4C">
            <w:pPr>
              <w:spacing w:after="40"/>
              <w:rPr>
                <w:lang w:val="en-US"/>
              </w:rPr>
            </w:pPr>
            <w:r w:rsidRPr="003D7036">
              <w:rPr>
                <w:color w:val="262626"/>
                <w:sz w:val="20"/>
                <w:szCs w:val="20"/>
                <w:lang w:val="en-US"/>
              </w:rPr>
              <w:t>ARHIAX_v114_Enterprise_Pilot_Playbook</w:t>
            </w:r>
          </w:p>
        </w:tc>
        <w:tc>
          <w:tcPr>
            <w:tcW w:w="2000" w:type="dxa"/>
            <w:shd w:val="clear" w:color="auto" w:fill="DEEBF7"/>
            <w:tcMar>
              <w:top w:w="100" w:type="dxa"/>
              <w:left w:w="120" w:type="dxa"/>
              <w:bottom w:w="100" w:type="dxa"/>
              <w:right w:w="120" w:type="dxa"/>
            </w:tcMar>
          </w:tcPr>
          <w:p w14:paraId="3D8376CC"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77714F91" w14:textId="77777777" w:rsidR="0099437E" w:rsidRDefault="00E63A4C">
            <w:pPr>
              <w:spacing w:after="40"/>
            </w:pPr>
            <w:r>
              <w:rPr>
                <w:color w:val="262626"/>
                <w:sz w:val="20"/>
                <w:szCs w:val="20"/>
              </w:rPr>
              <w:t>Commercial</w:t>
            </w:r>
          </w:p>
        </w:tc>
      </w:tr>
      <w:tr w:rsidR="0099437E" w14:paraId="52F7C93B" w14:textId="77777777">
        <w:tblPrEx>
          <w:tblCellMar>
            <w:top w:w="0" w:type="dxa"/>
            <w:bottom w:w="0" w:type="dxa"/>
          </w:tblCellMar>
        </w:tblPrEx>
        <w:tc>
          <w:tcPr>
            <w:tcW w:w="2000" w:type="dxa"/>
            <w:tcMar>
              <w:top w:w="100" w:type="dxa"/>
              <w:left w:w="120" w:type="dxa"/>
              <w:bottom w:w="100" w:type="dxa"/>
              <w:right w:w="120" w:type="dxa"/>
            </w:tcMar>
          </w:tcPr>
          <w:p w14:paraId="7B4E098A" w14:textId="77777777" w:rsidR="0099437E" w:rsidRPr="003D7036" w:rsidRDefault="00E63A4C">
            <w:pPr>
              <w:spacing w:after="40"/>
              <w:rPr>
                <w:lang w:val="en-US"/>
              </w:rPr>
            </w:pPr>
            <w:r w:rsidRPr="003D7036">
              <w:rPr>
                <w:color w:val="262626"/>
                <w:sz w:val="20"/>
                <w:szCs w:val="20"/>
                <w:lang w:val="en-US"/>
              </w:rPr>
              <w:t>ARHIAX_v114_Incident_Response_Runbooks</w:t>
            </w:r>
          </w:p>
        </w:tc>
        <w:tc>
          <w:tcPr>
            <w:tcW w:w="2000" w:type="dxa"/>
            <w:shd w:val="clear" w:color="auto" w:fill="DEEBF7"/>
            <w:tcMar>
              <w:top w:w="100" w:type="dxa"/>
              <w:left w:w="120" w:type="dxa"/>
              <w:bottom w:w="100" w:type="dxa"/>
              <w:right w:w="120" w:type="dxa"/>
            </w:tcMar>
          </w:tcPr>
          <w:p w14:paraId="7BD0E46C"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17D7F5A7" w14:textId="77777777" w:rsidR="0099437E" w:rsidRDefault="00E63A4C">
            <w:pPr>
              <w:spacing w:after="40"/>
            </w:pPr>
            <w:r>
              <w:rPr>
                <w:color w:val="262626"/>
                <w:sz w:val="20"/>
                <w:szCs w:val="20"/>
              </w:rPr>
              <w:t>Commercial</w:t>
            </w:r>
          </w:p>
        </w:tc>
      </w:tr>
      <w:tr w:rsidR="0099437E" w14:paraId="561E2446" w14:textId="77777777">
        <w:tblPrEx>
          <w:tblCellMar>
            <w:top w:w="0" w:type="dxa"/>
            <w:bottom w:w="0" w:type="dxa"/>
          </w:tblCellMar>
        </w:tblPrEx>
        <w:tc>
          <w:tcPr>
            <w:tcW w:w="2000" w:type="dxa"/>
            <w:tcMar>
              <w:top w:w="100" w:type="dxa"/>
              <w:left w:w="120" w:type="dxa"/>
              <w:bottom w:w="100" w:type="dxa"/>
              <w:right w:w="120" w:type="dxa"/>
            </w:tcMar>
          </w:tcPr>
          <w:p w14:paraId="06EFB3CE" w14:textId="77777777" w:rsidR="0099437E" w:rsidRPr="003D7036" w:rsidRDefault="00E63A4C">
            <w:pPr>
              <w:spacing w:after="40"/>
              <w:rPr>
                <w:lang w:val="en-US"/>
              </w:rPr>
            </w:pPr>
            <w:r w:rsidRPr="003D7036">
              <w:rPr>
                <w:color w:val="262626"/>
                <w:sz w:val="20"/>
                <w:szCs w:val="20"/>
                <w:lang w:val="en-US"/>
              </w:rPr>
              <w:t>ARHIAX_v114_OpenCore_Strategy (this document)</w:t>
            </w:r>
          </w:p>
        </w:tc>
        <w:tc>
          <w:tcPr>
            <w:tcW w:w="2000" w:type="dxa"/>
            <w:shd w:val="clear" w:color="auto" w:fill="FCE4D6"/>
            <w:tcMar>
              <w:top w:w="100" w:type="dxa"/>
              <w:left w:w="120" w:type="dxa"/>
              <w:bottom w:w="100" w:type="dxa"/>
              <w:right w:w="120" w:type="dxa"/>
            </w:tcMar>
          </w:tcPr>
          <w:p w14:paraId="34D1915F" w14:textId="77777777" w:rsidR="0099437E" w:rsidRDefault="00E63A4C">
            <w:pPr>
              <w:spacing w:after="40"/>
            </w:pPr>
            <w:r>
              <w:rPr>
                <w:b/>
                <w:bCs/>
                <w:color w:val="262626"/>
                <w:sz w:val="20"/>
                <w:szCs w:val="20"/>
              </w:rPr>
              <w:t>Internal</w:t>
            </w:r>
          </w:p>
        </w:tc>
        <w:tc>
          <w:tcPr>
            <w:tcW w:w="2000" w:type="dxa"/>
            <w:tcMar>
              <w:top w:w="100" w:type="dxa"/>
              <w:left w:w="120" w:type="dxa"/>
              <w:bottom w:w="100" w:type="dxa"/>
              <w:right w:w="120" w:type="dxa"/>
            </w:tcMar>
          </w:tcPr>
          <w:p w14:paraId="66C2B171" w14:textId="77777777" w:rsidR="0099437E" w:rsidRDefault="00E63A4C">
            <w:pPr>
              <w:spacing w:after="40"/>
            </w:pPr>
            <w:r>
              <w:rPr>
                <w:color w:val="262626"/>
                <w:sz w:val="20"/>
                <w:szCs w:val="20"/>
              </w:rPr>
              <w:t>Proprietary</w:t>
            </w:r>
          </w:p>
        </w:tc>
      </w:tr>
    </w:tbl>
    <w:p w14:paraId="5D6284AB" w14:textId="77777777" w:rsidR="0099437E" w:rsidRDefault="00E63A4C">
      <w:pPr>
        <w:spacing w:after="120"/>
      </w:pPr>
      <w:r>
        <w:t xml:space="preserve"> </w:t>
      </w:r>
    </w:p>
    <w:p w14:paraId="27887BE6" w14:textId="77777777" w:rsidR="0099437E" w:rsidRDefault="00E63A4C">
      <w:pPr>
        <w:pStyle w:val="Ttulo2"/>
      </w:pPr>
      <w:r>
        <w:t>3.2. Runtime 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1"/>
        <w:gridCol w:w="2115"/>
        <w:gridCol w:w="2024"/>
      </w:tblGrid>
      <w:tr w:rsidR="0099437E" w14:paraId="6590892A" w14:textId="77777777">
        <w:tblPrEx>
          <w:tblCellMar>
            <w:top w:w="0" w:type="dxa"/>
            <w:bottom w:w="0" w:type="dxa"/>
          </w:tblCellMar>
        </w:tblPrEx>
        <w:trPr>
          <w:tblHeader/>
        </w:trPr>
        <w:tc>
          <w:tcPr>
            <w:tcW w:w="5500" w:type="dxa"/>
            <w:shd w:val="clear" w:color="auto" w:fill="1F3864"/>
            <w:tcMar>
              <w:top w:w="100" w:type="dxa"/>
              <w:left w:w="120" w:type="dxa"/>
              <w:bottom w:w="100" w:type="dxa"/>
              <w:right w:w="120" w:type="dxa"/>
            </w:tcMar>
          </w:tcPr>
          <w:p w14:paraId="3A05EFFC" w14:textId="77777777" w:rsidR="0099437E" w:rsidRDefault="00E63A4C">
            <w:pPr>
              <w:spacing w:after="40"/>
            </w:pPr>
            <w:r>
              <w:rPr>
                <w:b/>
                <w:bCs/>
                <w:color w:val="FFFFFF"/>
                <w:sz w:val="20"/>
                <w:szCs w:val="20"/>
              </w:rPr>
              <w:t>Component</w:t>
            </w:r>
          </w:p>
        </w:tc>
        <w:tc>
          <w:tcPr>
            <w:tcW w:w="2200" w:type="dxa"/>
            <w:shd w:val="clear" w:color="auto" w:fill="1F3864"/>
            <w:tcMar>
              <w:top w:w="100" w:type="dxa"/>
              <w:left w:w="120" w:type="dxa"/>
              <w:bottom w:w="100" w:type="dxa"/>
              <w:right w:w="120" w:type="dxa"/>
            </w:tcMar>
          </w:tcPr>
          <w:p w14:paraId="10D470B0" w14:textId="77777777" w:rsidR="0099437E" w:rsidRDefault="00E63A4C">
            <w:pPr>
              <w:spacing w:after="40"/>
            </w:pPr>
            <w:r>
              <w:rPr>
                <w:b/>
                <w:bCs/>
                <w:color w:val="FFFFFF"/>
                <w:sz w:val="20"/>
                <w:szCs w:val="20"/>
              </w:rPr>
              <w:t>Edition</w:t>
            </w:r>
          </w:p>
        </w:tc>
        <w:tc>
          <w:tcPr>
            <w:tcW w:w="2100" w:type="dxa"/>
            <w:shd w:val="clear" w:color="auto" w:fill="1F3864"/>
            <w:tcMar>
              <w:top w:w="100" w:type="dxa"/>
              <w:left w:w="120" w:type="dxa"/>
              <w:bottom w:w="100" w:type="dxa"/>
              <w:right w:w="120" w:type="dxa"/>
            </w:tcMar>
          </w:tcPr>
          <w:p w14:paraId="40F3D71F" w14:textId="77777777" w:rsidR="0099437E" w:rsidRDefault="00E63A4C">
            <w:pPr>
              <w:spacing w:after="40"/>
            </w:pPr>
            <w:r>
              <w:rPr>
                <w:b/>
                <w:bCs/>
                <w:color w:val="FFFFFF"/>
                <w:sz w:val="20"/>
                <w:szCs w:val="20"/>
              </w:rPr>
              <w:t>License</w:t>
            </w:r>
          </w:p>
        </w:tc>
      </w:tr>
      <w:tr w:rsidR="0099437E" w14:paraId="1FA7527B" w14:textId="77777777">
        <w:tblPrEx>
          <w:tblCellMar>
            <w:top w:w="0" w:type="dxa"/>
            <w:bottom w:w="0" w:type="dxa"/>
          </w:tblCellMar>
        </w:tblPrEx>
        <w:tc>
          <w:tcPr>
            <w:tcW w:w="2000" w:type="dxa"/>
            <w:tcMar>
              <w:top w:w="100" w:type="dxa"/>
              <w:left w:w="120" w:type="dxa"/>
              <w:bottom w:w="100" w:type="dxa"/>
              <w:right w:w="120" w:type="dxa"/>
            </w:tcMar>
          </w:tcPr>
          <w:p w14:paraId="74EB0658" w14:textId="77777777" w:rsidR="0099437E" w:rsidRPr="003D7036" w:rsidRDefault="00E63A4C">
            <w:pPr>
              <w:spacing w:after="40"/>
              <w:rPr>
                <w:lang w:val="en-US"/>
              </w:rPr>
            </w:pPr>
            <w:r w:rsidRPr="003D7036">
              <w:rPr>
                <w:color w:val="262626"/>
                <w:sz w:val="20"/>
                <w:szCs w:val="20"/>
                <w:lang w:val="en-US"/>
              </w:rPr>
              <w:t>ATK Service (arhiax_atk_service.py, ~640 LoC)</w:t>
            </w:r>
          </w:p>
        </w:tc>
        <w:tc>
          <w:tcPr>
            <w:tcW w:w="2000" w:type="dxa"/>
            <w:shd w:val="clear" w:color="auto" w:fill="E2EFDA"/>
            <w:tcMar>
              <w:top w:w="100" w:type="dxa"/>
              <w:left w:w="120" w:type="dxa"/>
              <w:bottom w:w="100" w:type="dxa"/>
              <w:right w:w="120" w:type="dxa"/>
            </w:tcMar>
          </w:tcPr>
          <w:p w14:paraId="775F41FF"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1C73C05C" w14:textId="77777777" w:rsidR="0099437E" w:rsidRDefault="00E63A4C">
            <w:pPr>
              <w:spacing w:after="40"/>
            </w:pPr>
            <w:r>
              <w:rPr>
                <w:color w:val="262626"/>
                <w:sz w:val="20"/>
                <w:szCs w:val="20"/>
              </w:rPr>
              <w:t>Apache 2.0</w:t>
            </w:r>
          </w:p>
        </w:tc>
      </w:tr>
      <w:tr w:rsidR="0099437E" w14:paraId="5612BA9D" w14:textId="77777777">
        <w:tblPrEx>
          <w:tblCellMar>
            <w:top w:w="0" w:type="dxa"/>
            <w:bottom w:w="0" w:type="dxa"/>
          </w:tblCellMar>
        </w:tblPrEx>
        <w:tc>
          <w:tcPr>
            <w:tcW w:w="2000" w:type="dxa"/>
            <w:tcMar>
              <w:top w:w="100" w:type="dxa"/>
              <w:left w:w="120" w:type="dxa"/>
              <w:bottom w:w="100" w:type="dxa"/>
              <w:right w:w="120" w:type="dxa"/>
            </w:tcMar>
          </w:tcPr>
          <w:p w14:paraId="7113EFFA" w14:textId="77777777" w:rsidR="0099437E" w:rsidRDefault="00E63A4C">
            <w:pPr>
              <w:spacing w:after="40"/>
            </w:pPr>
            <w:r>
              <w:rPr>
                <w:color w:val="262626"/>
                <w:sz w:val="20"/>
                <w:szCs w:val="20"/>
              </w:rPr>
              <w:t>MCP Interceptor (mcp_interceptor.py, ~205 LoC)</w:t>
            </w:r>
          </w:p>
        </w:tc>
        <w:tc>
          <w:tcPr>
            <w:tcW w:w="2000" w:type="dxa"/>
            <w:shd w:val="clear" w:color="auto" w:fill="E2EFDA"/>
            <w:tcMar>
              <w:top w:w="100" w:type="dxa"/>
              <w:left w:w="120" w:type="dxa"/>
              <w:bottom w:w="100" w:type="dxa"/>
              <w:right w:w="120" w:type="dxa"/>
            </w:tcMar>
          </w:tcPr>
          <w:p w14:paraId="24EA4BF9"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4B715690" w14:textId="77777777" w:rsidR="0099437E" w:rsidRDefault="00E63A4C">
            <w:pPr>
              <w:spacing w:after="40"/>
            </w:pPr>
            <w:r>
              <w:rPr>
                <w:color w:val="262626"/>
                <w:sz w:val="20"/>
                <w:szCs w:val="20"/>
              </w:rPr>
              <w:t>Apache 2.0</w:t>
            </w:r>
          </w:p>
        </w:tc>
      </w:tr>
      <w:tr w:rsidR="0099437E" w14:paraId="2878E9C1" w14:textId="77777777">
        <w:tblPrEx>
          <w:tblCellMar>
            <w:top w:w="0" w:type="dxa"/>
            <w:bottom w:w="0" w:type="dxa"/>
          </w:tblCellMar>
        </w:tblPrEx>
        <w:tc>
          <w:tcPr>
            <w:tcW w:w="2000" w:type="dxa"/>
            <w:tcMar>
              <w:top w:w="100" w:type="dxa"/>
              <w:left w:w="120" w:type="dxa"/>
              <w:bottom w:w="100" w:type="dxa"/>
              <w:right w:w="120" w:type="dxa"/>
            </w:tcMar>
          </w:tcPr>
          <w:p w14:paraId="278DECE2" w14:textId="77777777" w:rsidR="0099437E" w:rsidRPr="003D7036" w:rsidRDefault="00E63A4C">
            <w:pPr>
              <w:spacing w:after="40"/>
              <w:rPr>
                <w:lang w:val="en-US"/>
              </w:rPr>
            </w:pPr>
            <w:r w:rsidRPr="003D7036">
              <w:rPr>
                <w:color w:val="262626"/>
                <w:sz w:val="20"/>
                <w:szCs w:val="20"/>
                <w:lang w:val="en-US"/>
              </w:rPr>
              <w:t>Hardened Base (hardened_base.py, ~425 LoC)</w:t>
            </w:r>
          </w:p>
        </w:tc>
        <w:tc>
          <w:tcPr>
            <w:tcW w:w="2000" w:type="dxa"/>
            <w:shd w:val="clear" w:color="auto" w:fill="E2EFDA"/>
            <w:tcMar>
              <w:top w:w="100" w:type="dxa"/>
              <w:left w:w="120" w:type="dxa"/>
              <w:bottom w:w="100" w:type="dxa"/>
              <w:right w:w="120" w:type="dxa"/>
            </w:tcMar>
          </w:tcPr>
          <w:p w14:paraId="0AC55765"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4FB6877F" w14:textId="77777777" w:rsidR="0099437E" w:rsidRDefault="00E63A4C">
            <w:pPr>
              <w:spacing w:after="40"/>
            </w:pPr>
            <w:r>
              <w:rPr>
                <w:color w:val="262626"/>
                <w:sz w:val="20"/>
                <w:szCs w:val="20"/>
              </w:rPr>
              <w:t>Apache 2.0</w:t>
            </w:r>
          </w:p>
        </w:tc>
      </w:tr>
      <w:tr w:rsidR="0099437E" w14:paraId="41A22FEF" w14:textId="77777777">
        <w:tblPrEx>
          <w:tblCellMar>
            <w:top w:w="0" w:type="dxa"/>
            <w:bottom w:w="0" w:type="dxa"/>
          </w:tblCellMar>
        </w:tblPrEx>
        <w:tc>
          <w:tcPr>
            <w:tcW w:w="2000" w:type="dxa"/>
            <w:tcMar>
              <w:top w:w="100" w:type="dxa"/>
              <w:left w:w="120" w:type="dxa"/>
              <w:bottom w:w="100" w:type="dxa"/>
              <w:right w:w="120" w:type="dxa"/>
            </w:tcMar>
          </w:tcPr>
          <w:p w14:paraId="41AC6A0E" w14:textId="77777777" w:rsidR="0099437E" w:rsidRPr="003D7036" w:rsidRDefault="00E63A4C">
            <w:pPr>
              <w:spacing w:after="40"/>
              <w:rPr>
                <w:lang w:val="en-US"/>
              </w:rPr>
            </w:pPr>
            <w:r w:rsidRPr="003D7036">
              <w:rPr>
                <w:color w:val="262626"/>
                <w:sz w:val="20"/>
                <w:szCs w:val="20"/>
                <w:lang w:val="en-US"/>
              </w:rPr>
              <w:t>Hardened Clients — 6 concrete (hardened_clients.py)</w:t>
            </w:r>
          </w:p>
        </w:tc>
        <w:tc>
          <w:tcPr>
            <w:tcW w:w="2000" w:type="dxa"/>
            <w:shd w:val="clear" w:color="auto" w:fill="E2EFDA"/>
            <w:tcMar>
              <w:top w:w="100" w:type="dxa"/>
              <w:left w:w="120" w:type="dxa"/>
              <w:bottom w:w="100" w:type="dxa"/>
              <w:right w:w="120" w:type="dxa"/>
            </w:tcMar>
          </w:tcPr>
          <w:p w14:paraId="0E6D65DE"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15E9B3C4" w14:textId="77777777" w:rsidR="0099437E" w:rsidRDefault="00E63A4C">
            <w:pPr>
              <w:spacing w:after="40"/>
            </w:pPr>
            <w:r>
              <w:rPr>
                <w:color w:val="262626"/>
                <w:sz w:val="20"/>
                <w:szCs w:val="20"/>
              </w:rPr>
              <w:t>Apache 2.0</w:t>
            </w:r>
          </w:p>
        </w:tc>
      </w:tr>
      <w:tr w:rsidR="0099437E" w14:paraId="7B5A2457" w14:textId="77777777">
        <w:tblPrEx>
          <w:tblCellMar>
            <w:top w:w="0" w:type="dxa"/>
            <w:bottom w:w="0" w:type="dxa"/>
          </w:tblCellMar>
        </w:tblPrEx>
        <w:tc>
          <w:tcPr>
            <w:tcW w:w="2000" w:type="dxa"/>
            <w:tcMar>
              <w:top w:w="100" w:type="dxa"/>
              <w:left w:w="120" w:type="dxa"/>
              <w:bottom w:w="100" w:type="dxa"/>
              <w:right w:w="120" w:type="dxa"/>
            </w:tcMar>
          </w:tcPr>
          <w:p w14:paraId="0615B37A" w14:textId="77777777" w:rsidR="0099437E" w:rsidRPr="003D7036" w:rsidRDefault="00E63A4C">
            <w:pPr>
              <w:spacing w:after="40"/>
              <w:rPr>
                <w:lang w:val="en-US"/>
              </w:rPr>
            </w:pPr>
            <w:r w:rsidRPr="003D7036">
              <w:rPr>
                <w:color w:val="262626"/>
                <w:sz w:val="20"/>
                <w:szCs w:val="20"/>
                <w:lang w:val="en-US"/>
              </w:rPr>
              <w:t>Client Mode Selector (client_mode.py)</w:t>
            </w:r>
          </w:p>
        </w:tc>
        <w:tc>
          <w:tcPr>
            <w:tcW w:w="2000" w:type="dxa"/>
            <w:shd w:val="clear" w:color="auto" w:fill="E2EFDA"/>
            <w:tcMar>
              <w:top w:w="100" w:type="dxa"/>
              <w:left w:w="120" w:type="dxa"/>
              <w:bottom w:w="100" w:type="dxa"/>
              <w:right w:w="120" w:type="dxa"/>
            </w:tcMar>
          </w:tcPr>
          <w:p w14:paraId="09930606"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685AB838" w14:textId="77777777" w:rsidR="0099437E" w:rsidRDefault="00E63A4C">
            <w:pPr>
              <w:spacing w:after="40"/>
            </w:pPr>
            <w:r>
              <w:rPr>
                <w:color w:val="262626"/>
                <w:sz w:val="20"/>
                <w:szCs w:val="20"/>
              </w:rPr>
              <w:t>Apache 2.0</w:t>
            </w:r>
          </w:p>
        </w:tc>
      </w:tr>
      <w:tr w:rsidR="0099437E" w14:paraId="2C32BEB4" w14:textId="77777777">
        <w:tblPrEx>
          <w:tblCellMar>
            <w:top w:w="0" w:type="dxa"/>
            <w:bottom w:w="0" w:type="dxa"/>
          </w:tblCellMar>
        </w:tblPrEx>
        <w:tc>
          <w:tcPr>
            <w:tcW w:w="2000" w:type="dxa"/>
            <w:tcMar>
              <w:top w:w="100" w:type="dxa"/>
              <w:left w:w="120" w:type="dxa"/>
              <w:bottom w:w="100" w:type="dxa"/>
              <w:right w:w="120" w:type="dxa"/>
            </w:tcMar>
          </w:tcPr>
          <w:p w14:paraId="4C31224E" w14:textId="77777777" w:rsidR="0099437E" w:rsidRPr="003D7036" w:rsidRDefault="00E63A4C">
            <w:pPr>
              <w:spacing w:after="40"/>
              <w:rPr>
                <w:lang w:val="en-US"/>
              </w:rPr>
            </w:pPr>
            <w:r w:rsidRPr="003D7036">
              <w:rPr>
                <w:color w:val="262626"/>
                <w:sz w:val="20"/>
                <w:szCs w:val="20"/>
                <w:lang w:val="en-US"/>
              </w:rPr>
              <w:t>Demo + integration tests (demo.py, test_integration.py)</w:t>
            </w:r>
          </w:p>
        </w:tc>
        <w:tc>
          <w:tcPr>
            <w:tcW w:w="2000" w:type="dxa"/>
            <w:shd w:val="clear" w:color="auto" w:fill="E2EFDA"/>
            <w:tcMar>
              <w:top w:w="100" w:type="dxa"/>
              <w:left w:w="120" w:type="dxa"/>
              <w:bottom w:w="100" w:type="dxa"/>
              <w:right w:w="120" w:type="dxa"/>
            </w:tcMar>
          </w:tcPr>
          <w:p w14:paraId="13FDD830"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0C5B78B7" w14:textId="77777777" w:rsidR="0099437E" w:rsidRDefault="00E63A4C">
            <w:pPr>
              <w:spacing w:after="40"/>
            </w:pPr>
            <w:r>
              <w:rPr>
                <w:color w:val="262626"/>
                <w:sz w:val="20"/>
                <w:szCs w:val="20"/>
              </w:rPr>
              <w:t>Apache 2.0</w:t>
            </w:r>
          </w:p>
        </w:tc>
      </w:tr>
      <w:tr w:rsidR="0099437E" w14:paraId="636BC7ED" w14:textId="77777777">
        <w:tblPrEx>
          <w:tblCellMar>
            <w:top w:w="0" w:type="dxa"/>
            <w:bottom w:w="0" w:type="dxa"/>
          </w:tblCellMar>
        </w:tblPrEx>
        <w:tc>
          <w:tcPr>
            <w:tcW w:w="2000" w:type="dxa"/>
            <w:tcMar>
              <w:top w:w="100" w:type="dxa"/>
              <w:left w:w="120" w:type="dxa"/>
              <w:bottom w:w="100" w:type="dxa"/>
              <w:right w:w="120" w:type="dxa"/>
            </w:tcMar>
          </w:tcPr>
          <w:p w14:paraId="31CAB80A" w14:textId="77777777" w:rsidR="0099437E" w:rsidRPr="003D7036" w:rsidRDefault="00E63A4C">
            <w:pPr>
              <w:spacing w:after="40"/>
              <w:rPr>
                <w:lang w:val="en-US"/>
              </w:rPr>
            </w:pPr>
            <w:r w:rsidRPr="003D7036">
              <w:rPr>
                <w:color w:val="262626"/>
                <w:sz w:val="20"/>
                <w:szCs w:val="20"/>
                <w:lang w:val="en-US"/>
              </w:rPr>
              <w:t>Bundle B01 — Baseline Envelope Validation</w:t>
            </w:r>
          </w:p>
        </w:tc>
        <w:tc>
          <w:tcPr>
            <w:tcW w:w="2000" w:type="dxa"/>
            <w:shd w:val="clear" w:color="auto" w:fill="E2EFDA"/>
            <w:tcMar>
              <w:top w:w="100" w:type="dxa"/>
              <w:left w:w="120" w:type="dxa"/>
              <w:bottom w:w="100" w:type="dxa"/>
              <w:right w:w="120" w:type="dxa"/>
            </w:tcMar>
          </w:tcPr>
          <w:p w14:paraId="49031766"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16A56DA3" w14:textId="77777777" w:rsidR="0099437E" w:rsidRDefault="00E63A4C">
            <w:pPr>
              <w:spacing w:after="40"/>
            </w:pPr>
            <w:r>
              <w:rPr>
                <w:color w:val="262626"/>
                <w:sz w:val="20"/>
                <w:szCs w:val="20"/>
              </w:rPr>
              <w:t>Apache 2.0</w:t>
            </w:r>
          </w:p>
        </w:tc>
      </w:tr>
      <w:tr w:rsidR="0099437E" w14:paraId="34FCF750" w14:textId="77777777">
        <w:tblPrEx>
          <w:tblCellMar>
            <w:top w:w="0" w:type="dxa"/>
            <w:bottom w:w="0" w:type="dxa"/>
          </w:tblCellMar>
        </w:tblPrEx>
        <w:tc>
          <w:tcPr>
            <w:tcW w:w="2000" w:type="dxa"/>
            <w:tcMar>
              <w:top w:w="100" w:type="dxa"/>
              <w:left w:w="120" w:type="dxa"/>
              <w:bottom w:w="100" w:type="dxa"/>
              <w:right w:w="120" w:type="dxa"/>
            </w:tcMar>
          </w:tcPr>
          <w:p w14:paraId="38E1B467" w14:textId="77777777" w:rsidR="0099437E" w:rsidRDefault="00E63A4C">
            <w:pPr>
              <w:spacing w:after="40"/>
            </w:pPr>
            <w:r>
              <w:rPr>
                <w:color w:val="262626"/>
                <w:sz w:val="20"/>
                <w:szCs w:val="20"/>
              </w:rPr>
              <w:lastRenderedPageBreak/>
              <w:t>Bundle B02 — Rate Limiting</w:t>
            </w:r>
          </w:p>
        </w:tc>
        <w:tc>
          <w:tcPr>
            <w:tcW w:w="2000" w:type="dxa"/>
            <w:shd w:val="clear" w:color="auto" w:fill="E2EFDA"/>
            <w:tcMar>
              <w:top w:w="100" w:type="dxa"/>
              <w:left w:w="120" w:type="dxa"/>
              <w:bottom w:w="100" w:type="dxa"/>
              <w:right w:w="120" w:type="dxa"/>
            </w:tcMar>
          </w:tcPr>
          <w:p w14:paraId="45D29D13"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3BE0AA95" w14:textId="77777777" w:rsidR="0099437E" w:rsidRDefault="00E63A4C">
            <w:pPr>
              <w:spacing w:after="40"/>
            </w:pPr>
            <w:r>
              <w:rPr>
                <w:color w:val="262626"/>
                <w:sz w:val="20"/>
                <w:szCs w:val="20"/>
              </w:rPr>
              <w:t>Apache 2.0</w:t>
            </w:r>
          </w:p>
        </w:tc>
      </w:tr>
      <w:tr w:rsidR="0099437E" w14:paraId="6BF37253" w14:textId="77777777">
        <w:tblPrEx>
          <w:tblCellMar>
            <w:top w:w="0" w:type="dxa"/>
            <w:bottom w:w="0" w:type="dxa"/>
          </w:tblCellMar>
        </w:tblPrEx>
        <w:tc>
          <w:tcPr>
            <w:tcW w:w="2000" w:type="dxa"/>
            <w:tcMar>
              <w:top w:w="100" w:type="dxa"/>
              <w:left w:w="120" w:type="dxa"/>
              <w:bottom w:w="100" w:type="dxa"/>
              <w:right w:w="120" w:type="dxa"/>
            </w:tcMar>
          </w:tcPr>
          <w:p w14:paraId="67A88217" w14:textId="77777777" w:rsidR="0099437E" w:rsidRPr="003D7036" w:rsidRDefault="00E63A4C">
            <w:pPr>
              <w:spacing w:after="40"/>
              <w:rPr>
                <w:lang w:val="en-US"/>
              </w:rPr>
            </w:pPr>
            <w:r w:rsidRPr="003D7036">
              <w:rPr>
                <w:color w:val="262626"/>
                <w:sz w:val="20"/>
                <w:szCs w:val="20"/>
                <w:lang w:val="en-US"/>
              </w:rPr>
              <w:t>Bundle B03 — Prompt Injection Detection</w:t>
            </w:r>
          </w:p>
        </w:tc>
        <w:tc>
          <w:tcPr>
            <w:tcW w:w="2000" w:type="dxa"/>
            <w:shd w:val="clear" w:color="auto" w:fill="E2EFDA"/>
            <w:tcMar>
              <w:top w:w="100" w:type="dxa"/>
              <w:left w:w="120" w:type="dxa"/>
              <w:bottom w:w="100" w:type="dxa"/>
              <w:right w:w="120" w:type="dxa"/>
            </w:tcMar>
          </w:tcPr>
          <w:p w14:paraId="469397E1"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27365F51" w14:textId="77777777" w:rsidR="0099437E" w:rsidRDefault="00E63A4C">
            <w:pPr>
              <w:spacing w:after="40"/>
            </w:pPr>
            <w:r>
              <w:rPr>
                <w:color w:val="262626"/>
                <w:sz w:val="20"/>
                <w:szCs w:val="20"/>
              </w:rPr>
              <w:t>Apache 2.0</w:t>
            </w:r>
          </w:p>
        </w:tc>
      </w:tr>
      <w:tr w:rsidR="0099437E" w14:paraId="7461C773" w14:textId="77777777">
        <w:tblPrEx>
          <w:tblCellMar>
            <w:top w:w="0" w:type="dxa"/>
            <w:bottom w:w="0" w:type="dxa"/>
          </w:tblCellMar>
        </w:tblPrEx>
        <w:tc>
          <w:tcPr>
            <w:tcW w:w="2000" w:type="dxa"/>
            <w:tcMar>
              <w:top w:w="100" w:type="dxa"/>
              <w:left w:w="120" w:type="dxa"/>
              <w:bottom w:w="100" w:type="dxa"/>
              <w:right w:w="120" w:type="dxa"/>
            </w:tcMar>
          </w:tcPr>
          <w:p w14:paraId="7575DA6D" w14:textId="77777777" w:rsidR="0099437E" w:rsidRDefault="00E63A4C">
            <w:pPr>
              <w:spacing w:after="40"/>
            </w:pPr>
            <w:r>
              <w:rPr>
                <w:color w:val="262626"/>
                <w:sz w:val="20"/>
                <w:szCs w:val="20"/>
              </w:rPr>
              <w:t>Bundle B04 — Output Filtering</w:t>
            </w:r>
          </w:p>
        </w:tc>
        <w:tc>
          <w:tcPr>
            <w:tcW w:w="2000" w:type="dxa"/>
            <w:shd w:val="clear" w:color="auto" w:fill="E2EFDA"/>
            <w:tcMar>
              <w:top w:w="100" w:type="dxa"/>
              <w:left w:w="120" w:type="dxa"/>
              <w:bottom w:w="100" w:type="dxa"/>
              <w:right w:w="120" w:type="dxa"/>
            </w:tcMar>
          </w:tcPr>
          <w:p w14:paraId="4549869A"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30BD974A" w14:textId="77777777" w:rsidR="0099437E" w:rsidRDefault="00E63A4C">
            <w:pPr>
              <w:spacing w:after="40"/>
            </w:pPr>
            <w:r>
              <w:rPr>
                <w:color w:val="262626"/>
                <w:sz w:val="20"/>
                <w:szCs w:val="20"/>
              </w:rPr>
              <w:t>Apache 2.0</w:t>
            </w:r>
          </w:p>
        </w:tc>
      </w:tr>
      <w:tr w:rsidR="0099437E" w14:paraId="1D398598" w14:textId="77777777">
        <w:tblPrEx>
          <w:tblCellMar>
            <w:top w:w="0" w:type="dxa"/>
            <w:bottom w:w="0" w:type="dxa"/>
          </w:tblCellMar>
        </w:tblPrEx>
        <w:tc>
          <w:tcPr>
            <w:tcW w:w="2000" w:type="dxa"/>
            <w:tcMar>
              <w:top w:w="100" w:type="dxa"/>
              <w:left w:w="120" w:type="dxa"/>
              <w:bottom w:w="100" w:type="dxa"/>
              <w:right w:w="120" w:type="dxa"/>
            </w:tcMar>
          </w:tcPr>
          <w:p w14:paraId="662D7140" w14:textId="77777777" w:rsidR="0099437E" w:rsidRPr="003D7036" w:rsidRDefault="00E63A4C">
            <w:pPr>
              <w:spacing w:after="40"/>
              <w:rPr>
                <w:lang w:val="en-US"/>
              </w:rPr>
            </w:pPr>
            <w:r w:rsidRPr="003D7036">
              <w:rPr>
                <w:color w:val="262626"/>
                <w:sz w:val="20"/>
                <w:szCs w:val="20"/>
                <w:lang w:val="en-US"/>
              </w:rPr>
              <w:t>Bundle B05 — Output PII Scrubbing</w:t>
            </w:r>
          </w:p>
        </w:tc>
        <w:tc>
          <w:tcPr>
            <w:tcW w:w="2000" w:type="dxa"/>
            <w:shd w:val="clear" w:color="auto" w:fill="E2EFDA"/>
            <w:tcMar>
              <w:top w:w="100" w:type="dxa"/>
              <w:left w:w="120" w:type="dxa"/>
              <w:bottom w:w="100" w:type="dxa"/>
              <w:right w:w="120" w:type="dxa"/>
            </w:tcMar>
          </w:tcPr>
          <w:p w14:paraId="785E826F"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5CBEC286" w14:textId="77777777" w:rsidR="0099437E" w:rsidRDefault="00E63A4C">
            <w:pPr>
              <w:spacing w:after="40"/>
            </w:pPr>
            <w:r>
              <w:rPr>
                <w:color w:val="262626"/>
                <w:sz w:val="20"/>
                <w:szCs w:val="20"/>
              </w:rPr>
              <w:t>Apache 2.0</w:t>
            </w:r>
          </w:p>
        </w:tc>
      </w:tr>
      <w:tr w:rsidR="0099437E" w14:paraId="6C269173" w14:textId="77777777">
        <w:tblPrEx>
          <w:tblCellMar>
            <w:top w:w="0" w:type="dxa"/>
            <w:bottom w:w="0" w:type="dxa"/>
          </w:tblCellMar>
        </w:tblPrEx>
        <w:tc>
          <w:tcPr>
            <w:tcW w:w="2000" w:type="dxa"/>
            <w:tcMar>
              <w:top w:w="100" w:type="dxa"/>
              <w:left w:w="120" w:type="dxa"/>
              <w:bottom w:w="100" w:type="dxa"/>
              <w:right w:w="120" w:type="dxa"/>
            </w:tcMar>
          </w:tcPr>
          <w:p w14:paraId="42C6D5CF" w14:textId="77777777" w:rsidR="0099437E" w:rsidRPr="003D7036" w:rsidRDefault="00E63A4C">
            <w:pPr>
              <w:spacing w:after="40"/>
              <w:rPr>
                <w:lang w:val="en-US"/>
              </w:rPr>
            </w:pPr>
            <w:r w:rsidRPr="003D7036">
              <w:rPr>
                <w:color w:val="262626"/>
                <w:sz w:val="20"/>
                <w:szCs w:val="20"/>
                <w:lang w:val="en-US"/>
              </w:rPr>
              <w:t>Bundle B06 — Cross-Agent Coordination</w:t>
            </w:r>
          </w:p>
        </w:tc>
        <w:tc>
          <w:tcPr>
            <w:tcW w:w="2000" w:type="dxa"/>
            <w:shd w:val="clear" w:color="auto" w:fill="E2EFDA"/>
            <w:tcMar>
              <w:top w:w="100" w:type="dxa"/>
              <w:left w:w="120" w:type="dxa"/>
              <w:bottom w:w="100" w:type="dxa"/>
              <w:right w:w="120" w:type="dxa"/>
            </w:tcMar>
          </w:tcPr>
          <w:p w14:paraId="61054BE0"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233CBCE0" w14:textId="77777777" w:rsidR="0099437E" w:rsidRDefault="00E63A4C">
            <w:pPr>
              <w:spacing w:after="40"/>
            </w:pPr>
            <w:r>
              <w:rPr>
                <w:color w:val="262626"/>
                <w:sz w:val="20"/>
                <w:szCs w:val="20"/>
              </w:rPr>
              <w:t>Apache 2.0</w:t>
            </w:r>
          </w:p>
        </w:tc>
      </w:tr>
      <w:tr w:rsidR="0099437E" w14:paraId="79EBD58E" w14:textId="77777777">
        <w:tblPrEx>
          <w:tblCellMar>
            <w:top w:w="0" w:type="dxa"/>
            <w:bottom w:w="0" w:type="dxa"/>
          </w:tblCellMar>
        </w:tblPrEx>
        <w:tc>
          <w:tcPr>
            <w:tcW w:w="2000" w:type="dxa"/>
            <w:tcMar>
              <w:top w:w="100" w:type="dxa"/>
              <w:left w:w="120" w:type="dxa"/>
              <w:bottom w:w="100" w:type="dxa"/>
              <w:right w:w="120" w:type="dxa"/>
            </w:tcMar>
          </w:tcPr>
          <w:p w14:paraId="1EA6CBD6" w14:textId="77777777" w:rsidR="0099437E" w:rsidRDefault="00E63A4C">
            <w:pPr>
              <w:spacing w:after="40"/>
            </w:pPr>
            <w:r>
              <w:rPr>
                <w:color w:val="262626"/>
                <w:sz w:val="20"/>
                <w:szCs w:val="20"/>
              </w:rPr>
              <w:t>Bundle B07 — Autonomy Gates</w:t>
            </w:r>
          </w:p>
        </w:tc>
        <w:tc>
          <w:tcPr>
            <w:tcW w:w="2000" w:type="dxa"/>
            <w:shd w:val="clear" w:color="auto" w:fill="E2EFDA"/>
            <w:tcMar>
              <w:top w:w="100" w:type="dxa"/>
              <w:left w:w="120" w:type="dxa"/>
              <w:bottom w:w="100" w:type="dxa"/>
              <w:right w:w="120" w:type="dxa"/>
            </w:tcMar>
          </w:tcPr>
          <w:p w14:paraId="7FE6894F"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4A2EA139" w14:textId="77777777" w:rsidR="0099437E" w:rsidRDefault="00E63A4C">
            <w:pPr>
              <w:spacing w:after="40"/>
            </w:pPr>
            <w:r>
              <w:rPr>
                <w:color w:val="262626"/>
                <w:sz w:val="20"/>
                <w:szCs w:val="20"/>
              </w:rPr>
              <w:t>Apache 2.0</w:t>
            </w:r>
          </w:p>
        </w:tc>
      </w:tr>
      <w:tr w:rsidR="0099437E" w14:paraId="612CFEBC" w14:textId="77777777">
        <w:tblPrEx>
          <w:tblCellMar>
            <w:top w:w="0" w:type="dxa"/>
            <w:bottom w:w="0" w:type="dxa"/>
          </w:tblCellMar>
        </w:tblPrEx>
        <w:tc>
          <w:tcPr>
            <w:tcW w:w="2000" w:type="dxa"/>
            <w:tcMar>
              <w:top w:w="100" w:type="dxa"/>
              <w:left w:w="120" w:type="dxa"/>
              <w:bottom w:w="100" w:type="dxa"/>
              <w:right w:w="120" w:type="dxa"/>
            </w:tcMar>
          </w:tcPr>
          <w:p w14:paraId="676C9E39" w14:textId="77777777" w:rsidR="0099437E" w:rsidRDefault="00E63A4C">
            <w:pPr>
              <w:spacing w:after="40"/>
            </w:pPr>
            <w:r>
              <w:rPr>
                <w:color w:val="262626"/>
                <w:sz w:val="20"/>
                <w:szCs w:val="20"/>
              </w:rPr>
              <w:t>Bundle B08 — Resource Quotas</w:t>
            </w:r>
          </w:p>
        </w:tc>
        <w:tc>
          <w:tcPr>
            <w:tcW w:w="2000" w:type="dxa"/>
            <w:shd w:val="clear" w:color="auto" w:fill="E2EFDA"/>
            <w:tcMar>
              <w:top w:w="100" w:type="dxa"/>
              <w:left w:w="120" w:type="dxa"/>
              <w:bottom w:w="100" w:type="dxa"/>
              <w:right w:w="120" w:type="dxa"/>
            </w:tcMar>
          </w:tcPr>
          <w:p w14:paraId="4CFED170"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66B5A2A2" w14:textId="77777777" w:rsidR="0099437E" w:rsidRDefault="00E63A4C">
            <w:pPr>
              <w:spacing w:after="40"/>
            </w:pPr>
            <w:r>
              <w:rPr>
                <w:color w:val="262626"/>
                <w:sz w:val="20"/>
                <w:szCs w:val="20"/>
              </w:rPr>
              <w:t>Apache 2.0</w:t>
            </w:r>
          </w:p>
        </w:tc>
      </w:tr>
      <w:tr w:rsidR="0099437E" w14:paraId="3B779E21" w14:textId="77777777">
        <w:tblPrEx>
          <w:tblCellMar>
            <w:top w:w="0" w:type="dxa"/>
            <w:bottom w:w="0" w:type="dxa"/>
          </w:tblCellMar>
        </w:tblPrEx>
        <w:tc>
          <w:tcPr>
            <w:tcW w:w="2000" w:type="dxa"/>
            <w:tcMar>
              <w:top w:w="100" w:type="dxa"/>
              <w:left w:w="120" w:type="dxa"/>
              <w:bottom w:w="100" w:type="dxa"/>
              <w:right w:w="120" w:type="dxa"/>
            </w:tcMar>
          </w:tcPr>
          <w:p w14:paraId="163562FE" w14:textId="77777777" w:rsidR="0099437E" w:rsidRDefault="00E63A4C">
            <w:pPr>
              <w:spacing w:after="40"/>
            </w:pPr>
            <w:r>
              <w:rPr>
                <w:color w:val="262626"/>
                <w:sz w:val="20"/>
                <w:szCs w:val="20"/>
              </w:rPr>
              <w:t>Bundle B09 — Tool Safety</w:t>
            </w:r>
          </w:p>
        </w:tc>
        <w:tc>
          <w:tcPr>
            <w:tcW w:w="2000" w:type="dxa"/>
            <w:shd w:val="clear" w:color="auto" w:fill="E2EFDA"/>
            <w:tcMar>
              <w:top w:w="100" w:type="dxa"/>
              <w:left w:w="120" w:type="dxa"/>
              <w:bottom w:w="100" w:type="dxa"/>
              <w:right w:w="120" w:type="dxa"/>
            </w:tcMar>
          </w:tcPr>
          <w:p w14:paraId="192364F2"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7DE45401" w14:textId="77777777" w:rsidR="0099437E" w:rsidRDefault="00E63A4C">
            <w:pPr>
              <w:spacing w:after="40"/>
            </w:pPr>
            <w:r>
              <w:rPr>
                <w:color w:val="262626"/>
                <w:sz w:val="20"/>
                <w:szCs w:val="20"/>
              </w:rPr>
              <w:t>Apache 2.0</w:t>
            </w:r>
          </w:p>
        </w:tc>
      </w:tr>
      <w:tr w:rsidR="0099437E" w14:paraId="3C478F1A" w14:textId="77777777">
        <w:tblPrEx>
          <w:tblCellMar>
            <w:top w:w="0" w:type="dxa"/>
            <w:bottom w:w="0" w:type="dxa"/>
          </w:tblCellMar>
        </w:tblPrEx>
        <w:tc>
          <w:tcPr>
            <w:tcW w:w="2000" w:type="dxa"/>
            <w:tcMar>
              <w:top w:w="100" w:type="dxa"/>
              <w:left w:w="120" w:type="dxa"/>
              <w:bottom w:w="100" w:type="dxa"/>
              <w:right w:w="120" w:type="dxa"/>
            </w:tcMar>
          </w:tcPr>
          <w:p w14:paraId="76FA23E3" w14:textId="77777777" w:rsidR="0099437E" w:rsidRPr="003D7036" w:rsidRDefault="00E63A4C">
            <w:pPr>
              <w:spacing w:after="40"/>
              <w:rPr>
                <w:lang w:val="en-US"/>
              </w:rPr>
            </w:pPr>
            <w:r w:rsidRPr="003D7036">
              <w:rPr>
                <w:color w:val="262626"/>
                <w:sz w:val="20"/>
                <w:szCs w:val="20"/>
                <w:lang w:val="en-US"/>
              </w:rPr>
              <w:t>Bundle B10 — Financial Transaction Integrity</w:t>
            </w:r>
          </w:p>
        </w:tc>
        <w:tc>
          <w:tcPr>
            <w:tcW w:w="2000" w:type="dxa"/>
            <w:shd w:val="clear" w:color="auto" w:fill="E2EFDA"/>
            <w:tcMar>
              <w:top w:w="100" w:type="dxa"/>
              <w:left w:w="120" w:type="dxa"/>
              <w:bottom w:w="100" w:type="dxa"/>
              <w:right w:w="120" w:type="dxa"/>
            </w:tcMar>
          </w:tcPr>
          <w:p w14:paraId="753FBBBD"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291240AA" w14:textId="77777777" w:rsidR="0099437E" w:rsidRDefault="00E63A4C">
            <w:pPr>
              <w:spacing w:after="40"/>
            </w:pPr>
            <w:r>
              <w:rPr>
                <w:color w:val="262626"/>
                <w:sz w:val="20"/>
                <w:szCs w:val="20"/>
              </w:rPr>
              <w:t>Apache 2.0</w:t>
            </w:r>
          </w:p>
        </w:tc>
      </w:tr>
      <w:tr w:rsidR="0099437E" w14:paraId="2D13E378" w14:textId="77777777">
        <w:tblPrEx>
          <w:tblCellMar>
            <w:top w:w="0" w:type="dxa"/>
            <w:bottom w:w="0" w:type="dxa"/>
          </w:tblCellMar>
        </w:tblPrEx>
        <w:tc>
          <w:tcPr>
            <w:tcW w:w="2000" w:type="dxa"/>
            <w:tcMar>
              <w:top w:w="100" w:type="dxa"/>
              <w:left w:w="120" w:type="dxa"/>
              <w:bottom w:w="100" w:type="dxa"/>
              <w:right w:w="120" w:type="dxa"/>
            </w:tcMar>
          </w:tcPr>
          <w:p w14:paraId="2049AE04" w14:textId="77777777" w:rsidR="0099437E" w:rsidRDefault="00E63A4C">
            <w:pPr>
              <w:spacing w:after="40"/>
            </w:pPr>
            <w:r>
              <w:rPr>
                <w:color w:val="262626"/>
                <w:sz w:val="20"/>
                <w:szCs w:val="20"/>
              </w:rPr>
              <w:t>Bundle B11 — Data Residency</w:t>
            </w:r>
          </w:p>
        </w:tc>
        <w:tc>
          <w:tcPr>
            <w:tcW w:w="2000" w:type="dxa"/>
            <w:shd w:val="clear" w:color="auto" w:fill="E2EFDA"/>
            <w:tcMar>
              <w:top w:w="100" w:type="dxa"/>
              <w:left w:w="120" w:type="dxa"/>
              <w:bottom w:w="100" w:type="dxa"/>
              <w:right w:w="120" w:type="dxa"/>
            </w:tcMar>
          </w:tcPr>
          <w:p w14:paraId="45A59390"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7C1AD96B" w14:textId="77777777" w:rsidR="0099437E" w:rsidRDefault="00E63A4C">
            <w:pPr>
              <w:spacing w:after="40"/>
            </w:pPr>
            <w:r>
              <w:rPr>
                <w:color w:val="262626"/>
                <w:sz w:val="20"/>
                <w:szCs w:val="20"/>
              </w:rPr>
              <w:t>Apache 2.0</w:t>
            </w:r>
          </w:p>
        </w:tc>
      </w:tr>
      <w:tr w:rsidR="0099437E" w14:paraId="6054E3CB" w14:textId="77777777">
        <w:tblPrEx>
          <w:tblCellMar>
            <w:top w:w="0" w:type="dxa"/>
            <w:bottom w:w="0" w:type="dxa"/>
          </w:tblCellMar>
        </w:tblPrEx>
        <w:tc>
          <w:tcPr>
            <w:tcW w:w="2000" w:type="dxa"/>
            <w:tcMar>
              <w:top w:w="100" w:type="dxa"/>
              <w:left w:w="120" w:type="dxa"/>
              <w:bottom w:w="100" w:type="dxa"/>
              <w:right w:w="120" w:type="dxa"/>
            </w:tcMar>
          </w:tcPr>
          <w:p w14:paraId="6F0A4756" w14:textId="77777777" w:rsidR="0099437E" w:rsidRDefault="00E63A4C">
            <w:pPr>
              <w:spacing w:after="40"/>
            </w:pPr>
            <w:r>
              <w:rPr>
                <w:color w:val="262626"/>
                <w:sz w:val="20"/>
                <w:szCs w:val="20"/>
              </w:rPr>
              <w:t>Bundle B12 — Port Logistics</w:t>
            </w:r>
          </w:p>
        </w:tc>
        <w:tc>
          <w:tcPr>
            <w:tcW w:w="2000" w:type="dxa"/>
            <w:shd w:val="clear" w:color="auto" w:fill="E2EFDA"/>
            <w:tcMar>
              <w:top w:w="100" w:type="dxa"/>
              <w:left w:w="120" w:type="dxa"/>
              <w:bottom w:w="100" w:type="dxa"/>
              <w:right w:w="120" w:type="dxa"/>
            </w:tcMar>
          </w:tcPr>
          <w:p w14:paraId="785F98CA"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0675629D" w14:textId="77777777" w:rsidR="0099437E" w:rsidRDefault="00E63A4C">
            <w:pPr>
              <w:spacing w:after="40"/>
            </w:pPr>
            <w:r>
              <w:rPr>
                <w:color w:val="262626"/>
                <w:sz w:val="20"/>
                <w:szCs w:val="20"/>
              </w:rPr>
              <w:t>Apache 2.0</w:t>
            </w:r>
          </w:p>
        </w:tc>
      </w:tr>
      <w:tr w:rsidR="0099437E" w14:paraId="492221EC" w14:textId="77777777">
        <w:tblPrEx>
          <w:tblCellMar>
            <w:top w:w="0" w:type="dxa"/>
            <w:bottom w:w="0" w:type="dxa"/>
          </w:tblCellMar>
        </w:tblPrEx>
        <w:tc>
          <w:tcPr>
            <w:tcW w:w="2000" w:type="dxa"/>
            <w:tcMar>
              <w:top w:w="100" w:type="dxa"/>
              <w:left w:w="120" w:type="dxa"/>
              <w:bottom w:w="100" w:type="dxa"/>
              <w:right w:w="120" w:type="dxa"/>
            </w:tcMar>
          </w:tcPr>
          <w:p w14:paraId="33B3DCE1" w14:textId="77777777" w:rsidR="0099437E" w:rsidRPr="003D7036" w:rsidRDefault="00E63A4C">
            <w:pPr>
              <w:spacing w:after="40"/>
              <w:rPr>
                <w:lang w:val="en-US"/>
              </w:rPr>
            </w:pPr>
            <w:r w:rsidRPr="003D7036">
              <w:rPr>
                <w:color w:val="262626"/>
                <w:sz w:val="20"/>
                <w:szCs w:val="20"/>
                <w:lang w:val="en-US"/>
              </w:rPr>
              <w:t>Bundle B13 — PII / LGPD Detection</w:t>
            </w:r>
          </w:p>
        </w:tc>
        <w:tc>
          <w:tcPr>
            <w:tcW w:w="2000" w:type="dxa"/>
            <w:shd w:val="clear" w:color="auto" w:fill="E2EFDA"/>
            <w:tcMar>
              <w:top w:w="100" w:type="dxa"/>
              <w:left w:w="120" w:type="dxa"/>
              <w:bottom w:w="100" w:type="dxa"/>
              <w:right w:w="120" w:type="dxa"/>
            </w:tcMar>
          </w:tcPr>
          <w:p w14:paraId="162D806D"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6AA4A385" w14:textId="77777777" w:rsidR="0099437E" w:rsidRDefault="00E63A4C">
            <w:pPr>
              <w:spacing w:after="40"/>
            </w:pPr>
            <w:r>
              <w:rPr>
                <w:color w:val="262626"/>
                <w:sz w:val="20"/>
                <w:szCs w:val="20"/>
              </w:rPr>
              <w:t>Apache 2.0</w:t>
            </w:r>
          </w:p>
        </w:tc>
      </w:tr>
      <w:tr w:rsidR="0099437E" w14:paraId="3F451192" w14:textId="77777777">
        <w:tblPrEx>
          <w:tblCellMar>
            <w:top w:w="0" w:type="dxa"/>
            <w:bottom w:w="0" w:type="dxa"/>
          </w:tblCellMar>
        </w:tblPrEx>
        <w:tc>
          <w:tcPr>
            <w:tcW w:w="2000" w:type="dxa"/>
            <w:tcMar>
              <w:top w:w="100" w:type="dxa"/>
              <w:left w:w="120" w:type="dxa"/>
              <w:bottom w:w="100" w:type="dxa"/>
              <w:right w:w="120" w:type="dxa"/>
            </w:tcMar>
          </w:tcPr>
          <w:p w14:paraId="3D7C3732" w14:textId="77777777" w:rsidR="0099437E" w:rsidRDefault="00E63A4C">
            <w:pPr>
              <w:spacing w:after="40"/>
            </w:pPr>
            <w:r>
              <w:rPr>
                <w:color w:val="262626"/>
                <w:sz w:val="20"/>
                <w:szCs w:val="20"/>
              </w:rPr>
              <w:t>Bundle B14 — AIM Identity</w:t>
            </w:r>
          </w:p>
        </w:tc>
        <w:tc>
          <w:tcPr>
            <w:tcW w:w="2000" w:type="dxa"/>
            <w:shd w:val="clear" w:color="auto" w:fill="DEEBF7"/>
            <w:tcMar>
              <w:top w:w="100" w:type="dxa"/>
              <w:left w:w="120" w:type="dxa"/>
              <w:bottom w:w="100" w:type="dxa"/>
              <w:right w:w="120" w:type="dxa"/>
            </w:tcMar>
          </w:tcPr>
          <w:p w14:paraId="615E588C"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7B77D576" w14:textId="77777777" w:rsidR="0099437E" w:rsidRDefault="00E63A4C">
            <w:pPr>
              <w:spacing w:after="40"/>
            </w:pPr>
            <w:r>
              <w:rPr>
                <w:color w:val="262626"/>
                <w:sz w:val="20"/>
                <w:szCs w:val="20"/>
              </w:rPr>
              <w:t>Commercial</w:t>
            </w:r>
          </w:p>
        </w:tc>
      </w:tr>
      <w:tr w:rsidR="0099437E" w14:paraId="544ACF0D" w14:textId="77777777">
        <w:tblPrEx>
          <w:tblCellMar>
            <w:top w:w="0" w:type="dxa"/>
            <w:bottom w:w="0" w:type="dxa"/>
          </w:tblCellMar>
        </w:tblPrEx>
        <w:tc>
          <w:tcPr>
            <w:tcW w:w="2000" w:type="dxa"/>
            <w:tcMar>
              <w:top w:w="100" w:type="dxa"/>
              <w:left w:w="120" w:type="dxa"/>
              <w:bottom w:w="100" w:type="dxa"/>
              <w:right w:w="120" w:type="dxa"/>
            </w:tcMar>
          </w:tcPr>
          <w:p w14:paraId="57BFD1B3" w14:textId="77777777" w:rsidR="0099437E" w:rsidRDefault="00E63A4C">
            <w:pPr>
              <w:spacing w:after="40"/>
            </w:pPr>
            <w:r>
              <w:rPr>
                <w:color w:val="262626"/>
                <w:sz w:val="20"/>
                <w:szCs w:val="20"/>
              </w:rPr>
              <w:t>Bundle B15 — Agent Lifecycle</w:t>
            </w:r>
          </w:p>
        </w:tc>
        <w:tc>
          <w:tcPr>
            <w:tcW w:w="2000" w:type="dxa"/>
            <w:shd w:val="clear" w:color="auto" w:fill="DEEBF7"/>
            <w:tcMar>
              <w:top w:w="100" w:type="dxa"/>
              <w:left w:w="120" w:type="dxa"/>
              <w:bottom w:w="100" w:type="dxa"/>
              <w:right w:w="120" w:type="dxa"/>
            </w:tcMar>
          </w:tcPr>
          <w:p w14:paraId="74DC9AB0"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4E2749E6" w14:textId="77777777" w:rsidR="0099437E" w:rsidRDefault="00E63A4C">
            <w:pPr>
              <w:spacing w:after="40"/>
            </w:pPr>
            <w:r>
              <w:rPr>
                <w:color w:val="262626"/>
                <w:sz w:val="20"/>
                <w:szCs w:val="20"/>
              </w:rPr>
              <w:t>Commercial</w:t>
            </w:r>
          </w:p>
        </w:tc>
      </w:tr>
      <w:tr w:rsidR="0099437E" w14:paraId="7B3D8824" w14:textId="77777777">
        <w:tblPrEx>
          <w:tblCellMar>
            <w:top w:w="0" w:type="dxa"/>
            <w:bottom w:w="0" w:type="dxa"/>
          </w:tblCellMar>
        </w:tblPrEx>
        <w:tc>
          <w:tcPr>
            <w:tcW w:w="2000" w:type="dxa"/>
            <w:tcMar>
              <w:top w:w="100" w:type="dxa"/>
              <w:left w:w="120" w:type="dxa"/>
              <w:bottom w:w="100" w:type="dxa"/>
              <w:right w:w="120" w:type="dxa"/>
            </w:tcMar>
          </w:tcPr>
          <w:p w14:paraId="54F5FF09" w14:textId="77777777" w:rsidR="0099437E" w:rsidRDefault="00E63A4C">
            <w:pPr>
              <w:spacing w:after="40"/>
            </w:pPr>
            <w:r>
              <w:rPr>
                <w:color w:val="262626"/>
                <w:sz w:val="20"/>
                <w:szCs w:val="20"/>
              </w:rPr>
              <w:t>Bundle B16 — AIM Permissions</w:t>
            </w:r>
          </w:p>
        </w:tc>
        <w:tc>
          <w:tcPr>
            <w:tcW w:w="2000" w:type="dxa"/>
            <w:shd w:val="clear" w:color="auto" w:fill="DEEBF7"/>
            <w:tcMar>
              <w:top w:w="100" w:type="dxa"/>
              <w:left w:w="120" w:type="dxa"/>
              <w:bottom w:w="100" w:type="dxa"/>
              <w:right w:w="120" w:type="dxa"/>
            </w:tcMar>
          </w:tcPr>
          <w:p w14:paraId="7C45E9E3"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212A9FB4" w14:textId="77777777" w:rsidR="0099437E" w:rsidRDefault="00E63A4C">
            <w:pPr>
              <w:spacing w:after="40"/>
            </w:pPr>
            <w:r>
              <w:rPr>
                <w:color w:val="262626"/>
                <w:sz w:val="20"/>
                <w:szCs w:val="20"/>
              </w:rPr>
              <w:t>Commercial</w:t>
            </w:r>
          </w:p>
        </w:tc>
      </w:tr>
      <w:tr w:rsidR="0099437E" w14:paraId="705C7347" w14:textId="77777777">
        <w:tblPrEx>
          <w:tblCellMar>
            <w:top w:w="0" w:type="dxa"/>
            <w:bottom w:w="0" w:type="dxa"/>
          </w:tblCellMar>
        </w:tblPrEx>
        <w:tc>
          <w:tcPr>
            <w:tcW w:w="2000" w:type="dxa"/>
            <w:tcMar>
              <w:top w:w="100" w:type="dxa"/>
              <w:left w:w="120" w:type="dxa"/>
              <w:bottom w:w="100" w:type="dxa"/>
              <w:right w:w="120" w:type="dxa"/>
            </w:tcMar>
          </w:tcPr>
          <w:p w14:paraId="029CBF6C" w14:textId="77777777" w:rsidR="0099437E" w:rsidRPr="003D7036" w:rsidRDefault="00E63A4C">
            <w:pPr>
              <w:spacing w:after="40"/>
              <w:rPr>
                <w:lang w:val="en-US"/>
              </w:rPr>
            </w:pPr>
            <w:r w:rsidRPr="003D7036">
              <w:rPr>
                <w:color w:val="262626"/>
                <w:sz w:val="20"/>
                <w:szCs w:val="20"/>
                <w:lang w:val="en-US"/>
              </w:rPr>
              <w:t>Bundle B17 — Audit Trail Completeness</w:t>
            </w:r>
          </w:p>
        </w:tc>
        <w:tc>
          <w:tcPr>
            <w:tcW w:w="2000" w:type="dxa"/>
            <w:shd w:val="clear" w:color="auto" w:fill="DEEBF7"/>
            <w:tcMar>
              <w:top w:w="100" w:type="dxa"/>
              <w:left w:w="120" w:type="dxa"/>
              <w:bottom w:w="100" w:type="dxa"/>
              <w:right w:w="120" w:type="dxa"/>
            </w:tcMar>
          </w:tcPr>
          <w:p w14:paraId="52684CE7"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065B1C61" w14:textId="77777777" w:rsidR="0099437E" w:rsidRDefault="00E63A4C">
            <w:pPr>
              <w:spacing w:after="40"/>
            </w:pPr>
            <w:r>
              <w:rPr>
                <w:color w:val="262626"/>
                <w:sz w:val="20"/>
                <w:szCs w:val="20"/>
              </w:rPr>
              <w:t>Commercial</w:t>
            </w:r>
          </w:p>
        </w:tc>
      </w:tr>
      <w:tr w:rsidR="0099437E" w14:paraId="39247605" w14:textId="77777777">
        <w:tblPrEx>
          <w:tblCellMar>
            <w:top w:w="0" w:type="dxa"/>
            <w:bottom w:w="0" w:type="dxa"/>
          </w:tblCellMar>
        </w:tblPrEx>
        <w:tc>
          <w:tcPr>
            <w:tcW w:w="2000" w:type="dxa"/>
            <w:tcMar>
              <w:top w:w="100" w:type="dxa"/>
              <w:left w:w="120" w:type="dxa"/>
              <w:bottom w:w="100" w:type="dxa"/>
              <w:right w:w="120" w:type="dxa"/>
            </w:tcMar>
          </w:tcPr>
          <w:p w14:paraId="25BF53EB" w14:textId="77777777" w:rsidR="0099437E" w:rsidRPr="003D7036" w:rsidRDefault="00E63A4C">
            <w:pPr>
              <w:spacing w:after="40"/>
              <w:rPr>
                <w:lang w:val="en-US"/>
              </w:rPr>
            </w:pPr>
            <w:r w:rsidRPr="003D7036">
              <w:rPr>
                <w:color w:val="262626"/>
                <w:sz w:val="20"/>
                <w:szCs w:val="20"/>
                <w:lang w:val="en-US"/>
              </w:rPr>
              <w:t>Bundle B18 — Incident Response Coordination</w:t>
            </w:r>
          </w:p>
        </w:tc>
        <w:tc>
          <w:tcPr>
            <w:tcW w:w="2000" w:type="dxa"/>
            <w:shd w:val="clear" w:color="auto" w:fill="DEEBF7"/>
            <w:tcMar>
              <w:top w:w="100" w:type="dxa"/>
              <w:left w:w="120" w:type="dxa"/>
              <w:bottom w:w="100" w:type="dxa"/>
              <w:right w:w="120" w:type="dxa"/>
            </w:tcMar>
          </w:tcPr>
          <w:p w14:paraId="38033237"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6DAA4BA2" w14:textId="77777777" w:rsidR="0099437E" w:rsidRDefault="00E63A4C">
            <w:pPr>
              <w:spacing w:after="40"/>
            </w:pPr>
            <w:r>
              <w:rPr>
                <w:color w:val="262626"/>
                <w:sz w:val="20"/>
                <w:szCs w:val="20"/>
              </w:rPr>
              <w:t>Commercial</w:t>
            </w:r>
          </w:p>
        </w:tc>
      </w:tr>
      <w:tr w:rsidR="0099437E" w14:paraId="0AADA95E" w14:textId="77777777">
        <w:tblPrEx>
          <w:tblCellMar>
            <w:top w:w="0" w:type="dxa"/>
            <w:bottom w:w="0" w:type="dxa"/>
          </w:tblCellMar>
        </w:tblPrEx>
        <w:tc>
          <w:tcPr>
            <w:tcW w:w="2000" w:type="dxa"/>
            <w:tcMar>
              <w:top w:w="100" w:type="dxa"/>
              <w:left w:w="120" w:type="dxa"/>
              <w:bottom w:w="100" w:type="dxa"/>
              <w:right w:w="120" w:type="dxa"/>
            </w:tcMar>
          </w:tcPr>
          <w:p w14:paraId="46D07482" w14:textId="77777777" w:rsidR="0099437E" w:rsidRDefault="00E63A4C">
            <w:pPr>
              <w:spacing w:after="40"/>
            </w:pPr>
            <w:r>
              <w:rPr>
                <w:color w:val="262626"/>
                <w:sz w:val="20"/>
                <w:szCs w:val="20"/>
              </w:rPr>
              <w:t>Bundle B19 — Change Management</w:t>
            </w:r>
          </w:p>
        </w:tc>
        <w:tc>
          <w:tcPr>
            <w:tcW w:w="2000" w:type="dxa"/>
            <w:shd w:val="clear" w:color="auto" w:fill="DEEBF7"/>
            <w:tcMar>
              <w:top w:w="100" w:type="dxa"/>
              <w:left w:w="120" w:type="dxa"/>
              <w:bottom w:w="100" w:type="dxa"/>
              <w:right w:w="120" w:type="dxa"/>
            </w:tcMar>
          </w:tcPr>
          <w:p w14:paraId="46127F22"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4EA4285F" w14:textId="77777777" w:rsidR="0099437E" w:rsidRDefault="00E63A4C">
            <w:pPr>
              <w:spacing w:after="40"/>
            </w:pPr>
            <w:r>
              <w:rPr>
                <w:color w:val="262626"/>
                <w:sz w:val="20"/>
                <w:szCs w:val="20"/>
              </w:rPr>
              <w:t>Commercial</w:t>
            </w:r>
          </w:p>
        </w:tc>
      </w:tr>
      <w:tr w:rsidR="0099437E" w14:paraId="6964776A" w14:textId="77777777">
        <w:tblPrEx>
          <w:tblCellMar>
            <w:top w:w="0" w:type="dxa"/>
            <w:bottom w:w="0" w:type="dxa"/>
          </w:tblCellMar>
        </w:tblPrEx>
        <w:tc>
          <w:tcPr>
            <w:tcW w:w="2000" w:type="dxa"/>
            <w:tcMar>
              <w:top w:w="100" w:type="dxa"/>
              <w:left w:w="120" w:type="dxa"/>
              <w:bottom w:w="100" w:type="dxa"/>
              <w:right w:w="120" w:type="dxa"/>
            </w:tcMar>
          </w:tcPr>
          <w:p w14:paraId="4347415B" w14:textId="77777777" w:rsidR="0099437E" w:rsidRPr="003D7036" w:rsidRDefault="00E63A4C">
            <w:pPr>
              <w:spacing w:after="40"/>
              <w:rPr>
                <w:lang w:val="en-US"/>
              </w:rPr>
            </w:pPr>
            <w:r w:rsidRPr="003D7036">
              <w:rPr>
                <w:color w:val="262626"/>
                <w:sz w:val="20"/>
                <w:szCs w:val="20"/>
                <w:lang w:val="en-US"/>
              </w:rPr>
              <w:t>Bundle merge utility (merge_bundles.py)</w:t>
            </w:r>
          </w:p>
        </w:tc>
        <w:tc>
          <w:tcPr>
            <w:tcW w:w="2000" w:type="dxa"/>
            <w:shd w:val="clear" w:color="auto" w:fill="E2EFDA"/>
            <w:tcMar>
              <w:top w:w="100" w:type="dxa"/>
              <w:left w:w="120" w:type="dxa"/>
              <w:bottom w:w="100" w:type="dxa"/>
              <w:right w:w="120" w:type="dxa"/>
            </w:tcMar>
          </w:tcPr>
          <w:p w14:paraId="1FA32178"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5047B12A" w14:textId="77777777" w:rsidR="0099437E" w:rsidRDefault="00E63A4C">
            <w:pPr>
              <w:spacing w:after="40"/>
            </w:pPr>
            <w:r>
              <w:rPr>
                <w:color w:val="262626"/>
                <w:sz w:val="20"/>
                <w:szCs w:val="20"/>
              </w:rPr>
              <w:t>Apache 2.0</w:t>
            </w:r>
          </w:p>
        </w:tc>
      </w:tr>
      <w:tr w:rsidR="0099437E" w14:paraId="13793F62" w14:textId="77777777">
        <w:tblPrEx>
          <w:tblCellMar>
            <w:top w:w="0" w:type="dxa"/>
            <w:bottom w:w="0" w:type="dxa"/>
          </w:tblCellMar>
        </w:tblPrEx>
        <w:tc>
          <w:tcPr>
            <w:tcW w:w="2000" w:type="dxa"/>
            <w:tcMar>
              <w:top w:w="100" w:type="dxa"/>
              <w:left w:w="120" w:type="dxa"/>
              <w:bottom w:w="100" w:type="dxa"/>
              <w:right w:w="120" w:type="dxa"/>
            </w:tcMar>
          </w:tcPr>
          <w:p w14:paraId="4E461192" w14:textId="77777777" w:rsidR="0099437E" w:rsidRPr="003D7036" w:rsidRDefault="00E63A4C">
            <w:pPr>
              <w:spacing w:after="40"/>
              <w:rPr>
                <w:lang w:val="en-US"/>
              </w:rPr>
            </w:pPr>
            <w:r w:rsidRPr="003D7036">
              <w:rPr>
                <w:color w:val="262626"/>
                <w:sz w:val="20"/>
                <w:szCs w:val="20"/>
                <w:lang w:val="en-US"/>
              </w:rPr>
              <w:t>Test mirror Python — 13 community bundles</w:t>
            </w:r>
          </w:p>
        </w:tc>
        <w:tc>
          <w:tcPr>
            <w:tcW w:w="2000" w:type="dxa"/>
            <w:shd w:val="clear" w:color="auto" w:fill="E2EFDA"/>
            <w:tcMar>
              <w:top w:w="100" w:type="dxa"/>
              <w:left w:w="120" w:type="dxa"/>
              <w:bottom w:w="100" w:type="dxa"/>
              <w:right w:w="120" w:type="dxa"/>
            </w:tcMar>
          </w:tcPr>
          <w:p w14:paraId="711CF5BD"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7F0C3C7B" w14:textId="77777777" w:rsidR="0099437E" w:rsidRDefault="00E63A4C">
            <w:pPr>
              <w:spacing w:after="40"/>
            </w:pPr>
            <w:r>
              <w:rPr>
                <w:color w:val="262626"/>
                <w:sz w:val="20"/>
                <w:szCs w:val="20"/>
              </w:rPr>
              <w:t>Apache 2.0</w:t>
            </w:r>
          </w:p>
        </w:tc>
      </w:tr>
      <w:tr w:rsidR="0099437E" w14:paraId="73DD815D" w14:textId="77777777">
        <w:tblPrEx>
          <w:tblCellMar>
            <w:top w:w="0" w:type="dxa"/>
            <w:bottom w:w="0" w:type="dxa"/>
          </w:tblCellMar>
        </w:tblPrEx>
        <w:tc>
          <w:tcPr>
            <w:tcW w:w="2000" w:type="dxa"/>
            <w:tcMar>
              <w:top w:w="100" w:type="dxa"/>
              <w:left w:w="120" w:type="dxa"/>
              <w:bottom w:w="100" w:type="dxa"/>
              <w:right w:w="120" w:type="dxa"/>
            </w:tcMar>
          </w:tcPr>
          <w:p w14:paraId="2D816074" w14:textId="77777777" w:rsidR="0099437E" w:rsidRPr="003D7036" w:rsidRDefault="00E63A4C">
            <w:pPr>
              <w:spacing w:after="40"/>
              <w:rPr>
                <w:lang w:val="en-US"/>
              </w:rPr>
            </w:pPr>
            <w:r w:rsidRPr="003D7036">
              <w:rPr>
                <w:color w:val="262626"/>
                <w:sz w:val="20"/>
                <w:szCs w:val="20"/>
                <w:lang w:val="en-US"/>
              </w:rPr>
              <w:t>Test mirror Python — 6 enterprise bundles</w:t>
            </w:r>
          </w:p>
        </w:tc>
        <w:tc>
          <w:tcPr>
            <w:tcW w:w="2000" w:type="dxa"/>
            <w:shd w:val="clear" w:color="auto" w:fill="DEEBF7"/>
            <w:tcMar>
              <w:top w:w="100" w:type="dxa"/>
              <w:left w:w="120" w:type="dxa"/>
              <w:bottom w:w="100" w:type="dxa"/>
              <w:right w:w="120" w:type="dxa"/>
            </w:tcMar>
          </w:tcPr>
          <w:p w14:paraId="575E116A"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4ECEF017" w14:textId="77777777" w:rsidR="0099437E" w:rsidRDefault="00E63A4C">
            <w:pPr>
              <w:spacing w:after="40"/>
            </w:pPr>
            <w:r>
              <w:rPr>
                <w:color w:val="262626"/>
                <w:sz w:val="20"/>
                <w:szCs w:val="20"/>
              </w:rPr>
              <w:t>Commercial</w:t>
            </w:r>
          </w:p>
        </w:tc>
      </w:tr>
    </w:tbl>
    <w:p w14:paraId="13B8B2EA" w14:textId="77777777" w:rsidR="0099437E" w:rsidRDefault="00E63A4C">
      <w:pPr>
        <w:spacing w:after="120"/>
      </w:pPr>
      <w:r>
        <w:t xml:space="preserve"> </w:t>
      </w:r>
    </w:p>
    <w:p w14:paraId="2FB484AA" w14:textId="77777777" w:rsidR="0099437E" w:rsidRDefault="00E63A4C">
      <w:pPr>
        <w:pStyle w:val="Ttulo2"/>
      </w:pPr>
      <w:r>
        <w:t>3.3. Deployment artifacts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8"/>
        <w:gridCol w:w="2127"/>
        <w:gridCol w:w="2035"/>
      </w:tblGrid>
      <w:tr w:rsidR="0099437E" w14:paraId="028F6B29" w14:textId="77777777">
        <w:tblPrEx>
          <w:tblCellMar>
            <w:top w:w="0" w:type="dxa"/>
            <w:bottom w:w="0" w:type="dxa"/>
          </w:tblCellMar>
        </w:tblPrEx>
        <w:trPr>
          <w:tblHeader/>
        </w:trPr>
        <w:tc>
          <w:tcPr>
            <w:tcW w:w="5500" w:type="dxa"/>
            <w:shd w:val="clear" w:color="auto" w:fill="1F3864"/>
            <w:tcMar>
              <w:top w:w="100" w:type="dxa"/>
              <w:left w:w="120" w:type="dxa"/>
              <w:bottom w:w="100" w:type="dxa"/>
              <w:right w:w="120" w:type="dxa"/>
            </w:tcMar>
          </w:tcPr>
          <w:p w14:paraId="3B523670" w14:textId="77777777" w:rsidR="0099437E" w:rsidRDefault="00E63A4C">
            <w:pPr>
              <w:spacing w:after="40"/>
            </w:pPr>
            <w:r>
              <w:rPr>
                <w:b/>
                <w:bCs/>
                <w:color w:val="FFFFFF"/>
                <w:sz w:val="20"/>
                <w:szCs w:val="20"/>
              </w:rPr>
              <w:t>Artifact</w:t>
            </w:r>
          </w:p>
        </w:tc>
        <w:tc>
          <w:tcPr>
            <w:tcW w:w="2200" w:type="dxa"/>
            <w:shd w:val="clear" w:color="auto" w:fill="1F3864"/>
            <w:tcMar>
              <w:top w:w="100" w:type="dxa"/>
              <w:left w:w="120" w:type="dxa"/>
              <w:bottom w:w="100" w:type="dxa"/>
              <w:right w:w="120" w:type="dxa"/>
            </w:tcMar>
          </w:tcPr>
          <w:p w14:paraId="5BFF47DE" w14:textId="77777777" w:rsidR="0099437E" w:rsidRDefault="00E63A4C">
            <w:pPr>
              <w:spacing w:after="40"/>
            </w:pPr>
            <w:r>
              <w:rPr>
                <w:b/>
                <w:bCs/>
                <w:color w:val="FFFFFF"/>
                <w:sz w:val="20"/>
                <w:szCs w:val="20"/>
              </w:rPr>
              <w:t>Edition</w:t>
            </w:r>
          </w:p>
        </w:tc>
        <w:tc>
          <w:tcPr>
            <w:tcW w:w="2100" w:type="dxa"/>
            <w:shd w:val="clear" w:color="auto" w:fill="1F3864"/>
            <w:tcMar>
              <w:top w:w="100" w:type="dxa"/>
              <w:left w:w="120" w:type="dxa"/>
              <w:bottom w:w="100" w:type="dxa"/>
              <w:right w:w="120" w:type="dxa"/>
            </w:tcMar>
          </w:tcPr>
          <w:p w14:paraId="6B75000A" w14:textId="77777777" w:rsidR="0099437E" w:rsidRDefault="00E63A4C">
            <w:pPr>
              <w:spacing w:after="40"/>
            </w:pPr>
            <w:r>
              <w:rPr>
                <w:b/>
                <w:bCs/>
                <w:color w:val="FFFFFF"/>
                <w:sz w:val="20"/>
                <w:szCs w:val="20"/>
              </w:rPr>
              <w:t>License</w:t>
            </w:r>
          </w:p>
        </w:tc>
      </w:tr>
      <w:tr w:rsidR="0099437E" w14:paraId="4B015D11" w14:textId="77777777">
        <w:tblPrEx>
          <w:tblCellMar>
            <w:top w:w="0" w:type="dxa"/>
            <w:bottom w:w="0" w:type="dxa"/>
          </w:tblCellMar>
        </w:tblPrEx>
        <w:tc>
          <w:tcPr>
            <w:tcW w:w="2000" w:type="dxa"/>
            <w:tcMar>
              <w:top w:w="100" w:type="dxa"/>
              <w:left w:w="120" w:type="dxa"/>
              <w:bottom w:w="100" w:type="dxa"/>
              <w:right w:w="120" w:type="dxa"/>
            </w:tcMar>
          </w:tcPr>
          <w:p w14:paraId="530EAA2F" w14:textId="77777777" w:rsidR="0099437E" w:rsidRPr="003D7036" w:rsidRDefault="00E63A4C">
            <w:pPr>
              <w:spacing w:after="40"/>
              <w:rPr>
                <w:lang w:val="en-US"/>
              </w:rPr>
            </w:pPr>
            <w:r w:rsidRPr="003D7036">
              <w:rPr>
                <w:color w:val="262626"/>
                <w:sz w:val="20"/>
                <w:szCs w:val="20"/>
                <w:lang w:val="en-US"/>
              </w:rPr>
              <w:t>Helm chart (community edition with 13 bundles + slots for 6)</w:t>
            </w:r>
          </w:p>
        </w:tc>
        <w:tc>
          <w:tcPr>
            <w:tcW w:w="2000" w:type="dxa"/>
            <w:shd w:val="clear" w:color="auto" w:fill="E2EFDA"/>
            <w:tcMar>
              <w:top w:w="100" w:type="dxa"/>
              <w:left w:w="120" w:type="dxa"/>
              <w:bottom w:w="100" w:type="dxa"/>
              <w:right w:w="120" w:type="dxa"/>
            </w:tcMar>
          </w:tcPr>
          <w:p w14:paraId="74A39FF2"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443BF3B6" w14:textId="77777777" w:rsidR="0099437E" w:rsidRDefault="00E63A4C">
            <w:pPr>
              <w:spacing w:after="40"/>
            </w:pPr>
            <w:r>
              <w:rPr>
                <w:color w:val="262626"/>
                <w:sz w:val="20"/>
                <w:szCs w:val="20"/>
              </w:rPr>
              <w:t>Apache 2.0</w:t>
            </w:r>
          </w:p>
        </w:tc>
      </w:tr>
      <w:tr w:rsidR="0099437E" w14:paraId="5316E303" w14:textId="77777777">
        <w:tblPrEx>
          <w:tblCellMar>
            <w:top w:w="0" w:type="dxa"/>
            <w:bottom w:w="0" w:type="dxa"/>
          </w:tblCellMar>
        </w:tblPrEx>
        <w:tc>
          <w:tcPr>
            <w:tcW w:w="2000" w:type="dxa"/>
            <w:tcMar>
              <w:top w:w="100" w:type="dxa"/>
              <w:left w:w="120" w:type="dxa"/>
              <w:bottom w:w="100" w:type="dxa"/>
              <w:right w:w="120" w:type="dxa"/>
            </w:tcMar>
          </w:tcPr>
          <w:p w14:paraId="0E5C27C0" w14:textId="77777777" w:rsidR="0099437E" w:rsidRPr="003D7036" w:rsidRDefault="00E63A4C">
            <w:pPr>
              <w:spacing w:after="40"/>
              <w:rPr>
                <w:lang w:val="en-US"/>
              </w:rPr>
            </w:pPr>
            <w:r w:rsidRPr="003D7036">
              <w:rPr>
                <w:color w:val="262626"/>
                <w:sz w:val="20"/>
                <w:szCs w:val="20"/>
                <w:lang w:val="en-US"/>
              </w:rPr>
              <w:lastRenderedPageBreak/>
              <w:t>Default values.yaml (generic, non-pilot)</w:t>
            </w:r>
          </w:p>
        </w:tc>
        <w:tc>
          <w:tcPr>
            <w:tcW w:w="2000" w:type="dxa"/>
            <w:shd w:val="clear" w:color="auto" w:fill="E2EFDA"/>
            <w:tcMar>
              <w:top w:w="100" w:type="dxa"/>
              <w:left w:w="120" w:type="dxa"/>
              <w:bottom w:w="100" w:type="dxa"/>
              <w:right w:w="120" w:type="dxa"/>
            </w:tcMar>
          </w:tcPr>
          <w:p w14:paraId="006DAAAC"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0A394BA0" w14:textId="77777777" w:rsidR="0099437E" w:rsidRDefault="00E63A4C">
            <w:pPr>
              <w:spacing w:after="40"/>
            </w:pPr>
            <w:r>
              <w:rPr>
                <w:color w:val="262626"/>
                <w:sz w:val="20"/>
                <w:szCs w:val="20"/>
              </w:rPr>
              <w:t>Apache 2.0</w:t>
            </w:r>
          </w:p>
        </w:tc>
      </w:tr>
      <w:tr w:rsidR="0099437E" w14:paraId="3230A160" w14:textId="77777777">
        <w:tblPrEx>
          <w:tblCellMar>
            <w:top w:w="0" w:type="dxa"/>
            <w:bottom w:w="0" w:type="dxa"/>
          </w:tblCellMar>
        </w:tblPrEx>
        <w:tc>
          <w:tcPr>
            <w:tcW w:w="2000" w:type="dxa"/>
            <w:tcMar>
              <w:top w:w="100" w:type="dxa"/>
              <w:left w:w="120" w:type="dxa"/>
              <w:bottom w:w="100" w:type="dxa"/>
              <w:right w:w="120" w:type="dxa"/>
            </w:tcMar>
          </w:tcPr>
          <w:p w14:paraId="300FBDAC" w14:textId="77777777" w:rsidR="0099437E" w:rsidRDefault="00E63A4C">
            <w:pPr>
              <w:spacing w:after="40"/>
            </w:pPr>
            <w:r>
              <w:rPr>
                <w:color w:val="262626"/>
                <w:sz w:val="20"/>
                <w:szCs w:val="20"/>
              </w:rPr>
              <w:t>Dockerfile (community build)</w:t>
            </w:r>
          </w:p>
        </w:tc>
        <w:tc>
          <w:tcPr>
            <w:tcW w:w="2000" w:type="dxa"/>
            <w:shd w:val="clear" w:color="auto" w:fill="E2EFDA"/>
            <w:tcMar>
              <w:top w:w="100" w:type="dxa"/>
              <w:left w:w="120" w:type="dxa"/>
              <w:bottom w:w="100" w:type="dxa"/>
              <w:right w:w="120" w:type="dxa"/>
            </w:tcMar>
          </w:tcPr>
          <w:p w14:paraId="66EC4DE4"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12751EF0" w14:textId="77777777" w:rsidR="0099437E" w:rsidRDefault="00E63A4C">
            <w:pPr>
              <w:spacing w:after="40"/>
            </w:pPr>
            <w:r>
              <w:rPr>
                <w:color w:val="262626"/>
                <w:sz w:val="20"/>
                <w:szCs w:val="20"/>
              </w:rPr>
              <w:t>Apache 2.0</w:t>
            </w:r>
          </w:p>
        </w:tc>
      </w:tr>
      <w:tr w:rsidR="0099437E" w14:paraId="448A6AC6" w14:textId="77777777">
        <w:tblPrEx>
          <w:tblCellMar>
            <w:top w:w="0" w:type="dxa"/>
            <w:bottom w:w="0" w:type="dxa"/>
          </w:tblCellMar>
        </w:tblPrEx>
        <w:tc>
          <w:tcPr>
            <w:tcW w:w="2000" w:type="dxa"/>
            <w:tcMar>
              <w:top w:w="100" w:type="dxa"/>
              <w:left w:w="120" w:type="dxa"/>
              <w:bottom w:w="100" w:type="dxa"/>
              <w:right w:w="120" w:type="dxa"/>
            </w:tcMar>
          </w:tcPr>
          <w:p w14:paraId="0EAB9E98" w14:textId="77777777" w:rsidR="0099437E" w:rsidRPr="003D7036" w:rsidRDefault="00E63A4C">
            <w:pPr>
              <w:spacing w:after="40"/>
              <w:rPr>
                <w:lang w:val="en-US"/>
              </w:rPr>
            </w:pPr>
            <w:r w:rsidRPr="003D7036">
              <w:rPr>
                <w:color w:val="262626"/>
                <w:sz w:val="20"/>
                <w:szCs w:val="20"/>
                <w:lang w:val="en-US"/>
              </w:rPr>
              <w:t>CI/CD workflow (GitHub Actions, community fork-friendly)</w:t>
            </w:r>
          </w:p>
        </w:tc>
        <w:tc>
          <w:tcPr>
            <w:tcW w:w="2000" w:type="dxa"/>
            <w:shd w:val="clear" w:color="auto" w:fill="E2EFDA"/>
            <w:tcMar>
              <w:top w:w="100" w:type="dxa"/>
              <w:left w:w="120" w:type="dxa"/>
              <w:bottom w:w="100" w:type="dxa"/>
              <w:right w:w="120" w:type="dxa"/>
            </w:tcMar>
          </w:tcPr>
          <w:p w14:paraId="68EFE1F7" w14:textId="77777777" w:rsidR="0099437E" w:rsidRDefault="00E63A4C">
            <w:pPr>
              <w:spacing w:after="40"/>
            </w:pPr>
            <w:r>
              <w:rPr>
                <w:b/>
                <w:bCs/>
                <w:color w:val="262626"/>
                <w:sz w:val="20"/>
                <w:szCs w:val="20"/>
              </w:rPr>
              <w:t>Community</w:t>
            </w:r>
          </w:p>
        </w:tc>
        <w:tc>
          <w:tcPr>
            <w:tcW w:w="2000" w:type="dxa"/>
            <w:tcMar>
              <w:top w:w="100" w:type="dxa"/>
              <w:left w:w="120" w:type="dxa"/>
              <w:bottom w:w="100" w:type="dxa"/>
              <w:right w:w="120" w:type="dxa"/>
            </w:tcMar>
          </w:tcPr>
          <w:p w14:paraId="55BCBC23" w14:textId="77777777" w:rsidR="0099437E" w:rsidRDefault="00E63A4C">
            <w:pPr>
              <w:spacing w:after="40"/>
            </w:pPr>
            <w:r>
              <w:rPr>
                <w:color w:val="262626"/>
                <w:sz w:val="20"/>
                <w:szCs w:val="20"/>
              </w:rPr>
              <w:t>Apache 2.0</w:t>
            </w:r>
          </w:p>
        </w:tc>
      </w:tr>
      <w:tr w:rsidR="0099437E" w14:paraId="12AB5C42" w14:textId="77777777">
        <w:tblPrEx>
          <w:tblCellMar>
            <w:top w:w="0" w:type="dxa"/>
            <w:bottom w:w="0" w:type="dxa"/>
          </w:tblCellMar>
        </w:tblPrEx>
        <w:tc>
          <w:tcPr>
            <w:tcW w:w="2000" w:type="dxa"/>
            <w:tcMar>
              <w:top w:w="100" w:type="dxa"/>
              <w:left w:w="120" w:type="dxa"/>
              <w:bottom w:w="100" w:type="dxa"/>
              <w:right w:w="120" w:type="dxa"/>
            </w:tcMar>
          </w:tcPr>
          <w:p w14:paraId="0D2F0287" w14:textId="77777777" w:rsidR="0099437E" w:rsidRPr="003D7036" w:rsidRDefault="00E63A4C">
            <w:pPr>
              <w:spacing w:after="40"/>
              <w:rPr>
                <w:lang w:val="en-US"/>
              </w:rPr>
            </w:pPr>
            <w:r w:rsidRPr="003D7036">
              <w:rPr>
                <w:color w:val="262626"/>
                <w:sz w:val="20"/>
                <w:szCs w:val="20"/>
                <w:lang w:val="en-US"/>
              </w:rPr>
              <w:t>values-sprbun.yaml (PORT-MAS pilot)</w:t>
            </w:r>
          </w:p>
        </w:tc>
        <w:tc>
          <w:tcPr>
            <w:tcW w:w="2000" w:type="dxa"/>
            <w:shd w:val="clear" w:color="auto" w:fill="DEEBF7"/>
            <w:tcMar>
              <w:top w:w="100" w:type="dxa"/>
              <w:left w:w="120" w:type="dxa"/>
              <w:bottom w:w="100" w:type="dxa"/>
              <w:right w:w="120" w:type="dxa"/>
            </w:tcMar>
          </w:tcPr>
          <w:p w14:paraId="5F80AB4A"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66382334" w14:textId="77777777" w:rsidR="0099437E" w:rsidRDefault="00E63A4C">
            <w:pPr>
              <w:spacing w:after="40"/>
            </w:pPr>
            <w:r>
              <w:rPr>
                <w:color w:val="262626"/>
                <w:sz w:val="20"/>
                <w:szCs w:val="20"/>
              </w:rPr>
              <w:t>Commercial</w:t>
            </w:r>
          </w:p>
        </w:tc>
      </w:tr>
      <w:tr w:rsidR="0099437E" w14:paraId="5B6852F3" w14:textId="77777777">
        <w:tblPrEx>
          <w:tblCellMar>
            <w:top w:w="0" w:type="dxa"/>
            <w:bottom w:w="0" w:type="dxa"/>
          </w:tblCellMar>
        </w:tblPrEx>
        <w:tc>
          <w:tcPr>
            <w:tcW w:w="2000" w:type="dxa"/>
            <w:tcMar>
              <w:top w:w="100" w:type="dxa"/>
              <w:left w:w="120" w:type="dxa"/>
              <w:bottom w:w="100" w:type="dxa"/>
              <w:right w:w="120" w:type="dxa"/>
            </w:tcMar>
          </w:tcPr>
          <w:p w14:paraId="52FF05B3" w14:textId="77777777" w:rsidR="0099437E" w:rsidRDefault="00E63A4C">
            <w:pPr>
              <w:spacing w:after="40"/>
            </w:pPr>
            <w:r>
              <w:rPr>
                <w:color w:val="262626"/>
                <w:sz w:val="20"/>
                <w:szCs w:val="20"/>
              </w:rPr>
              <w:t>values-brasil-fintech.yaml (Brasil PSAV)</w:t>
            </w:r>
          </w:p>
        </w:tc>
        <w:tc>
          <w:tcPr>
            <w:tcW w:w="2000" w:type="dxa"/>
            <w:shd w:val="clear" w:color="auto" w:fill="DEEBF7"/>
            <w:tcMar>
              <w:top w:w="100" w:type="dxa"/>
              <w:left w:w="120" w:type="dxa"/>
              <w:bottom w:w="100" w:type="dxa"/>
              <w:right w:w="120" w:type="dxa"/>
            </w:tcMar>
          </w:tcPr>
          <w:p w14:paraId="1C8A86EF"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09674FAD" w14:textId="77777777" w:rsidR="0099437E" w:rsidRDefault="00E63A4C">
            <w:pPr>
              <w:spacing w:after="40"/>
            </w:pPr>
            <w:r>
              <w:rPr>
                <w:color w:val="262626"/>
                <w:sz w:val="20"/>
                <w:szCs w:val="20"/>
              </w:rPr>
              <w:t>Commercial</w:t>
            </w:r>
          </w:p>
        </w:tc>
      </w:tr>
      <w:tr w:rsidR="0099437E" w14:paraId="74C2859D" w14:textId="77777777">
        <w:tblPrEx>
          <w:tblCellMar>
            <w:top w:w="0" w:type="dxa"/>
            <w:bottom w:w="0" w:type="dxa"/>
          </w:tblCellMar>
        </w:tblPrEx>
        <w:tc>
          <w:tcPr>
            <w:tcW w:w="2000" w:type="dxa"/>
            <w:tcMar>
              <w:top w:w="100" w:type="dxa"/>
              <w:left w:w="120" w:type="dxa"/>
              <w:bottom w:w="100" w:type="dxa"/>
              <w:right w:w="120" w:type="dxa"/>
            </w:tcMar>
          </w:tcPr>
          <w:p w14:paraId="4C430978" w14:textId="77777777" w:rsidR="0099437E" w:rsidRPr="003D7036" w:rsidRDefault="00E63A4C">
            <w:pPr>
              <w:spacing w:after="40"/>
              <w:rPr>
                <w:lang w:val="en-US"/>
              </w:rPr>
            </w:pPr>
            <w:r w:rsidRPr="003D7036">
              <w:rPr>
                <w:color w:val="262626"/>
                <w:sz w:val="20"/>
                <w:szCs w:val="20"/>
                <w:lang w:val="en-US"/>
              </w:rPr>
              <w:t>values-arhia-hfl.yaml (HFL shadow pilot)</w:t>
            </w:r>
          </w:p>
        </w:tc>
        <w:tc>
          <w:tcPr>
            <w:tcW w:w="2000" w:type="dxa"/>
            <w:shd w:val="clear" w:color="auto" w:fill="DEEBF7"/>
            <w:tcMar>
              <w:top w:w="100" w:type="dxa"/>
              <w:left w:w="120" w:type="dxa"/>
              <w:bottom w:w="100" w:type="dxa"/>
              <w:right w:w="120" w:type="dxa"/>
            </w:tcMar>
          </w:tcPr>
          <w:p w14:paraId="42CF2E97"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213B2336" w14:textId="77777777" w:rsidR="0099437E" w:rsidRDefault="00E63A4C">
            <w:pPr>
              <w:spacing w:after="40"/>
            </w:pPr>
            <w:r>
              <w:rPr>
                <w:color w:val="262626"/>
                <w:sz w:val="20"/>
                <w:szCs w:val="20"/>
              </w:rPr>
              <w:t>Commercial</w:t>
            </w:r>
          </w:p>
        </w:tc>
      </w:tr>
      <w:tr w:rsidR="0099437E" w14:paraId="6A462086" w14:textId="77777777">
        <w:tblPrEx>
          <w:tblCellMar>
            <w:top w:w="0" w:type="dxa"/>
            <w:bottom w:w="0" w:type="dxa"/>
          </w:tblCellMar>
        </w:tblPrEx>
        <w:tc>
          <w:tcPr>
            <w:tcW w:w="2000" w:type="dxa"/>
            <w:tcMar>
              <w:top w:w="100" w:type="dxa"/>
              <w:left w:w="120" w:type="dxa"/>
              <w:bottom w:w="100" w:type="dxa"/>
              <w:right w:w="120" w:type="dxa"/>
            </w:tcMar>
          </w:tcPr>
          <w:p w14:paraId="658CBE4F" w14:textId="77777777" w:rsidR="0099437E" w:rsidRPr="003D7036" w:rsidRDefault="00E63A4C">
            <w:pPr>
              <w:spacing w:after="40"/>
              <w:rPr>
                <w:lang w:val="en-US"/>
              </w:rPr>
            </w:pPr>
            <w:r w:rsidRPr="003D7036">
              <w:rPr>
                <w:color w:val="262626"/>
                <w:sz w:val="20"/>
                <w:szCs w:val="20"/>
                <w:lang w:val="en-US"/>
              </w:rPr>
              <w:t>Pre-configured Grafana dashboards per vertical</w:t>
            </w:r>
          </w:p>
        </w:tc>
        <w:tc>
          <w:tcPr>
            <w:tcW w:w="2000" w:type="dxa"/>
            <w:shd w:val="clear" w:color="auto" w:fill="DEEBF7"/>
            <w:tcMar>
              <w:top w:w="100" w:type="dxa"/>
              <w:left w:w="120" w:type="dxa"/>
              <w:bottom w:w="100" w:type="dxa"/>
              <w:right w:w="120" w:type="dxa"/>
            </w:tcMar>
          </w:tcPr>
          <w:p w14:paraId="636DDAA7"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086A1F79" w14:textId="77777777" w:rsidR="0099437E" w:rsidRDefault="00E63A4C">
            <w:pPr>
              <w:spacing w:after="40"/>
            </w:pPr>
            <w:r>
              <w:rPr>
                <w:color w:val="262626"/>
                <w:sz w:val="20"/>
                <w:szCs w:val="20"/>
              </w:rPr>
              <w:t>Commercial</w:t>
            </w:r>
          </w:p>
        </w:tc>
      </w:tr>
      <w:tr w:rsidR="0099437E" w14:paraId="109DC62C" w14:textId="77777777">
        <w:tblPrEx>
          <w:tblCellMar>
            <w:top w:w="0" w:type="dxa"/>
            <w:bottom w:w="0" w:type="dxa"/>
          </w:tblCellMar>
        </w:tblPrEx>
        <w:tc>
          <w:tcPr>
            <w:tcW w:w="2000" w:type="dxa"/>
            <w:tcMar>
              <w:top w:w="100" w:type="dxa"/>
              <w:left w:w="120" w:type="dxa"/>
              <w:bottom w:w="100" w:type="dxa"/>
              <w:right w:w="120" w:type="dxa"/>
            </w:tcMar>
          </w:tcPr>
          <w:p w14:paraId="1F5A9E08" w14:textId="77777777" w:rsidR="0099437E" w:rsidRPr="003D7036" w:rsidRDefault="00E63A4C">
            <w:pPr>
              <w:spacing w:after="40"/>
              <w:rPr>
                <w:lang w:val="en-US"/>
              </w:rPr>
            </w:pPr>
            <w:r w:rsidRPr="003D7036">
              <w:rPr>
                <w:color w:val="262626"/>
                <w:sz w:val="20"/>
                <w:szCs w:val="20"/>
                <w:lang w:val="en-US"/>
              </w:rPr>
              <w:t>Hardened CI/CD with trivy + kind smoke tests pre-tuned</w:t>
            </w:r>
          </w:p>
        </w:tc>
        <w:tc>
          <w:tcPr>
            <w:tcW w:w="2000" w:type="dxa"/>
            <w:shd w:val="clear" w:color="auto" w:fill="DEEBF7"/>
            <w:tcMar>
              <w:top w:w="100" w:type="dxa"/>
              <w:left w:w="120" w:type="dxa"/>
              <w:bottom w:w="100" w:type="dxa"/>
              <w:right w:w="120" w:type="dxa"/>
            </w:tcMar>
          </w:tcPr>
          <w:p w14:paraId="726D5B37" w14:textId="77777777" w:rsidR="0099437E" w:rsidRDefault="00E63A4C">
            <w:pPr>
              <w:spacing w:after="40"/>
            </w:pPr>
            <w:r>
              <w:rPr>
                <w:b/>
                <w:bCs/>
                <w:color w:val="262626"/>
                <w:sz w:val="20"/>
                <w:szCs w:val="20"/>
              </w:rPr>
              <w:t>Enterprise</w:t>
            </w:r>
          </w:p>
        </w:tc>
        <w:tc>
          <w:tcPr>
            <w:tcW w:w="2000" w:type="dxa"/>
            <w:tcMar>
              <w:top w:w="100" w:type="dxa"/>
              <w:left w:w="120" w:type="dxa"/>
              <w:bottom w:w="100" w:type="dxa"/>
              <w:right w:w="120" w:type="dxa"/>
            </w:tcMar>
          </w:tcPr>
          <w:p w14:paraId="685143AA" w14:textId="77777777" w:rsidR="0099437E" w:rsidRDefault="00E63A4C">
            <w:pPr>
              <w:spacing w:after="40"/>
            </w:pPr>
            <w:r>
              <w:rPr>
                <w:color w:val="262626"/>
                <w:sz w:val="20"/>
                <w:szCs w:val="20"/>
              </w:rPr>
              <w:t>Commercial</w:t>
            </w:r>
          </w:p>
        </w:tc>
      </w:tr>
    </w:tbl>
    <w:p w14:paraId="0FC851AA" w14:textId="77777777" w:rsidR="0099437E" w:rsidRDefault="00E63A4C">
      <w:pPr>
        <w:spacing w:after="120"/>
      </w:pPr>
      <w:r>
        <w:t xml:space="preserve"> </w:t>
      </w:r>
    </w:p>
    <w:p w14:paraId="12F1ABC5" w14:textId="77777777" w:rsidR="0099437E" w:rsidRPr="003D7036" w:rsidRDefault="00E63A4C">
      <w:pPr>
        <w:pStyle w:val="Ttulo2"/>
        <w:rPr>
          <w:lang w:val="en-US"/>
        </w:rPr>
      </w:pPr>
      <w:r w:rsidRPr="003D7036">
        <w:rPr>
          <w:lang w:val="en-US"/>
        </w:rPr>
        <w:t>3.4. API of intelligence (api.arhiax.com)</w:t>
      </w:r>
    </w:p>
    <w:p w14:paraId="5C576334" w14:textId="77777777" w:rsidR="0099437E" w:rsidRPr="003D7036" w:rsidRDefault="00E63A4C">
      <w:pPr>
        <w:spacing w:after="140" w:line="300" w:lineRule="auto"/>
        <w:jc w:val="both"/>
        <w:rPr>
          <w:lang w:val="en-US"/>
        </w:rPr>
      </w:pPr>
      <w:r w:rsidRPr="003D7036">
        <w:rPr>
          <w:color w:val="262626"/>
          <w:lang w:val="en-US"/>
        </w:rPr>
        <w:t>All endpoints under api.arhiax.com are Enterprise-only and require a valid subscription with API key. The full OpenAPI 3.0 specification is delivered as Artefacto 3 of Bloque B. The categories of endpoints are:</w:t>
      </w:r>
    </w:p>
    <w:p w14:paraId="1F85BC67" w14:textId="77777777" w:rsidR="0099437E" w:rsidRPr="003D7036" w:rsidRDefault="00E63A4C">
      <w:pPr>
        <w:pStyle w:val="Prrafodelista"/>
        <w:numPr>
          <w:ilvl w:val="0"/>
          <w:numId w:val="1"/>
        </w:numPr>
        <w:spacing w:after="80"/>
        <w:rPr>
          <w:lang w:val="en-US"/>
        </w:rPr>
      </w:pPr>
      <w:r w:rsidRPr="003D7036">
        <w:rPr>
          <w:color w:val="262626"/>
          <w:lang w:val="en-US"/>
        </w:rPr>
        <w:t>Bundle update distribution: signed updates of B14–B19 as the threat landscape evolves, plus tightening of B03 prompt injection signatures and B13 PII detectors.</w:t>
      </w:r>
    </w:p>
    <w:p w14:paraId="68996E38" w14:textId="77777777" w:rsidR="0099437E" w:rsidRDefault="00E63A4C">
      <w:pPr>
        <w:pStyle w:val="Prrafodelista"/>
        <w:numPr>
          <w:ilvl w:val="0"/>
          <w:numId w:val="1"/>
        </w:numPr>
        <w:spacing w:after="80"/>
      </w:pPr>
      <w:r w:rsidRPr="003D7036">
        <w:rPr>
          <w:color w:val="262626"/>
          <w:lang w:val="en-US"/>
        </w:rPr>
        <w:t>Behavioral baselines per vertical: pre-trained baselines that an enterprise customer loads into</w:t>
      </w:r>
      <w:r w:rsidRPr="003D7036">
        <w:rPr>
          <w:color w:val="262626"/>
          <w:lang w:val="en-US"/>
        </w:rPr>
        <w:t xml:space="preserve"> BBR to skip the cold-start period of behavioral learning. </w:t>
      </w:r>
      <w:r>
        <w:rPr>
          <w:color w:val="262626"/>
        </w:rPr>
        <w:t>Verticals at launch: port logistics, fintech, healthcare, retail, government.</w:t>
      </w:r>
    </w:p>
    <w:p w14:paraId="61263A07" w14:textId="77777777" w:rsidR="0099437E" w:rsidRPr="003D7036" w:rsidRDefault="00E63A4C">
      <w:pPr>
        <w:pStyle w:val="Prrafodelista"/>
        <w:numPr>
          <w:ilvl w:val="0"/>
          <w:numId w:val="1"/>
        </w:numPr>
        <w:spacing w:after="80"/>
        <w:rPr>
          <w:lang w:val="en-US"/>
        </w:rPr>
      </w:pPr>
      <w:r w:rsidRPr="003D7036">
        <w:rPr>
          <w:color w:val="262626"/>
          <w:lang w:val="en-US"/>
        </w:rPr>
        <w:t xml:space="preserve">Threat intelligence feed: continuous publication of attack signatures and indicators of compromise relevant to agentic </w:t>
      </w:r>
      <w:r w:rsidRPr="003D7036">
        <w:rPr>
          <w:color w:val="262626"/>
          <w:lang w:val="en-US"/>
        </w:rPr>
        <w:t>systems.</w:t>
      </w:r>
    </w:p>
    <w:p w14:paraId="128CF6A9" w14:textId="77777777" w:rsidR="0099437E" w:rsidRPr="003D7036" w:rsidRDefault="00E63A4C">
      <w:pPr>
        <w:pStyle w:val="Prrafodelista"/>
        <w:numPr>
          <w:ilvl w:val="0"/>
          <w:numId w:val="1"/>
        </w:numPr>
        <w:spacing w:after="80"/>
        <w:rPr>
          <w:lang w:val="en-US"/>
        </w:rPr>
      </w:pPr>
      <w:r w:rsidRPr="003D7036">
        <w:rPr>
          <w:color w:val="262626"/>
          <w:lang w:val="en-US"/>
        </w:rPr>
        <w:t>Crosswalk updates: when external frameworks publish new versions (NIST CSF 3.0, OWASP Agentic Top 10 v2, etc.), updated crosswalks are pushed to subscribers.</w:t>
      </w:r>
    </w:p>
    <w:p w14:paraId="44DF7C3F" w14:textId="77777777" w:rsidR="0099437E" w:rsidRPr="003D7036" w:rsidRDefault="00E63A4C">
      <w:pPr>
        <w:pStyle w:val="Prrafodelista"/>
        <w:numPr>
          <w:ilvl w:val="0"/>
          <w:numId w:val="1"/>
        </w:numPr>
        <w:spacing w:after="80"/>
        <w:rPr>
          <w:lang w:val="en-US"/>
        </w:rPr>
      </w:pPr>
      <w:r w:rsidRPr="003D7036">
        <w:rPr>
          <w:color w:val="262626"/>
          <w:lang w:val="en-US"/>
        </w:rPr>
        <w:t xml:space="preserve">Attestation verification: post-incident forensic verification that an ATK deployment was </w:t>
      </w:r>
      <w:r w:rsidRPr="003D7036">
        <w:rPr>
          <w:color w:val="262626"/>
          <w:lang w:val="en-US"/>
        </w:rPr>
        <w:t>running the configuration it claims at the moment of an event.</w:t>
      </w:r>
    </w:p>
    <w:p w14:paraId="4CAE6855" w14:textId="77777777" w:rsidR="0099437E" w:rsidRPr="003D7036" w:rsidRDefault="00E63A4C">
      <w:pPr>
        <w:pStyle w:val="Prrafodelista"/>
        <w:numPr>
          <w:ilvl w:val="0"/>
          <w:numId w:val="1"/>
        </w:numPr>
        <w:spacing w:after="80"/>
        <w:rPr>
          <w:lang w:val="en-US"/>
        </w:rPr>
      </w:pPr>
      <w:r w:rsidRPr="003D7036">
        <w:rPr>
          <w:color w:val="262626"/>
          <w:lang w:val="en-US"/>
        </w:rPr>
        <w:t>Enterprise telemetry (opt-in): aggregated, anonymized telemetry from subscribed deployments that informs the next round of bundle and baseline updates.</w:t>
      </w:r>
    </w:p>
    <w:p w14:paraId="59E570D9" w14:textId="77777777" w:rsidR="0099437E" w:rsidRPr="003D7036" w:rsidRDefault="00E63A4C">
      <w:pPr>
        <w:rPr>
          <w:lang w:val="en-US"/>
        </w:rPr>
      </w:pPr>
      <w:r w:rsidRPr="003D7036">
        <w:rPr>
          <w:lang w:val="en-US"/>
        </w:rPr>
        <w:br w:type="page"/>
      </w:r>
    </w:p>
    <w:p w14:paraId="52272B38" w14:textId="77777777" w:rsidR="0099437E" w:rsidRPr="003D7036" w:rsidRDefault="00E63A4C">
      <w:pPr>
        <w:pStyle w:val="Ttulo1"/>
        <w:rPr>
          <w:lang w:val="en-US"/>
        </w:rPr>
      </w:pPr>
      <w:r w:rsidRPr="003D7036">
        <w:rPr>
          <w:lang w:val="en-US"/>
        </w:rPr>
        <w:lastRenderedPageBreak/>
        <w:t>4. Technical Mechanism: Graceful Degrad</w:t>
      </w:r>
      <w:r w:rsidRPr="003D7036">
        <w:rPr>
          <w:lang w:val="en-US"/>
        </w:rPr>
        <w:t>ation</w:t>
      </w:r>
    </w:p>
    <w:p w14:paraId="43B1DCE2" w14:textId="77777777" w:rsidR="0099437E" w:rsidRPr="003D7036" w:rsidRDefault="00E63A4C">
      <w:pPr>
        <w:spacing w:after="140" w:line="300" w:lineRule="auto"/>
        <w:jc w:val="both"/>
        <w:rPr>
          <w:lang w:val="en-US"/>
        </w:rPr>
      </w:pPr>
      <w:r w:rsidRPr="003D7036">
        <w:rPr>
          <w:color w:val="262626"/>
          <w:lang w:val="en-US"/>
        </w:rPr>
        <w:t>The Helm chart and the ATK service are designed so that a single codebase serves both Community and Enterprise editions. The decision is made at runtime, not at build time, and it is made by detecting the presence of cryptographically signed enterpri</w:t>
      </w:r>
      <w:r w:rsidRPr="003D7036">
        <w:rPr>
          <w:color w:val="262626"/>
          <w:lang w:val="en-US"/>
        </w:rPr>
        <w:t>se bundles in well-known filesystem paths. This is the same pattern used by GitLab Community Edition and Enterprise Edition.</w:t>
      </w:r>
    </w:p>
    <w:p w14:paraId="1973A644" w14:textId="77777777" w:rsidR="0099437E" w:rsidRDefault="00E63A4C">
      <w:pPr>
        <w:pStyle w:val="Ttulo2"/>
      </w:pPr>
      <w:r>
        <w:t>4.1. How it works</w:t>
      </w:r>
    </w:p>
    <w:p w14:paraId="04BE4238" w14:textId="77777777" w:rsidR="0099437E" w:rsidRPr="003D7036" w:rsidRDefault="00E63A4C">
      <w:pPr>
        <w:pStyle w:val="Prrafodelista"/>
        <w:numPr>
          <w:ilvl w:val="0"/>
          <w:numId w:val="1"/>
        </w:numPr>
        <w:spacing w:after="80"/>
        <w:rPr>
          <w:lang w:val="en-US"/>
        </w:rPr>
      </w:pPr>
      <w:r w:rsidRPr="003D7036">
        <w:rPr>
          <w:color w:val="262626"/>
          <w:lang w:val="en-US"/>
        </w:rPr>
        <w:t xml:space="preserve">The ATK service starts up and reads the directory /var/lib/arhiax/bundles. It loads all .rego files it finds and </w:t>
      </w:r>
      <w:r w:rsidRPr="003D7036">
        <w:rPr>
          <w:color w:val="262626"/>
          <w:lang w:val="en-US"/>
        </w:rPr>
        <w:t>validates the signature of each against the Sinergia public key bundled with the runtime.</w:t>
      </w:r>
    </w:p>
    <w:p w14:paraId="11FF04B6" w14:textId="77777777" w:rsidR="0099437E" w:rsidRPr="003D7036" w:rsidRDefault="00E63A4C">
      <w:pPr>
        <w:pStyle w:val="Prrafodelista"/>
        <w:numPr>
          <w:ilvl w:val="0"/>
          <w:numId w:val="1"/>
        </w:numPr>
        <w:spacing w:after="80"/>
        <w:rPr>
          <w:lang w:val="en-US"/>
        </w:rPr>
      </w:pPr>
      <w:r w:rsidRPr="003D7036">
        <w:rPr>
          <w:color w:val="262626"/>
          <w:lang w:val="en-US"/>
        </w:rPr>
        <w:t>If the directory contains the 13 community bundles signed by the public Sinergia release key, the service loads them and reports arhiax_edition="community" in metrics</w:t>
      </w:r>
      <w:r w:rsidRPr="003D7036">
        <w:rPr>
          <w:color w:val="262626"/>
          <w:lang w:val="en-US"/>
        </w:rPr>
        <w:t>.</w:t>
      </w:r>
    </w:p>
    <w:p w14:paraId="7F646D97" w14:textId="77777777" w:rsidR="0099437E" w:rsidRPr="003D7036" w:rsidRDefault="00E63A4C">
      <w:pPr>
        <w:pStyle w:val="Prrafodelista"/>
        <w:numPr>
          <w:ilvl w:val="0"/>
          <w:numId w:val="1"/>
        </w:numPr>
        <w:spacing w:after="80"/>
        <w:rPr>
          <w:lang w:val="en-US"/>
        </w:rPr>
      </w:pPr>
      <w:r w:rsidRPr="003D7036">
        <w:rPr>
          <w:color w:val="262626"/>
          <w:lang w:val="en-US"/>
        </w:rPr>
        <w:t>If the directory additionally contains the 6 enterprise bundles signed by the Sinergia enterprise release key, the service loads them as well and reports arhiax_edition="enterprise". The 6 bundles activate immediately and the runtime begins enforcing the</w:t>
      </w:r>
      <w:r w:rsidRPr="003D7036">
        <w:rPr>
          <w:color w:val="262626"/>
          <w:lang w:val="en-US"/>
        </w:rPr>
        <w:t>m.</w:t>
      </w:r>
    </w:p>
    <w:p w14:paraId="4ACD31E4" w14:textId="77777777" w:rsidR="0099437E" w:rsidRPr="003D7036" w:rsidRDefault="00E63A4C">
      <w:pPr>
        <w:pStyle w:val="Prrafodelista"/>
        <w:numPr>
          <w:ilvl w:val="0"/>
          <w:numId w:val="1"/>
        </w:numPr>
        <w:spacing w:after="80"/>
        <w:rPr>
          <w:lang w:val="en-US"/>
        </w:rPr>
      </w:pPr>
      <w:r w:rsidRPr="003D7036">
        <w:rPr>
          <w:color w:val="262626"/>
          <w:lang w:val="en-US"/>
        </w:rPr>
        <w:t>If enterprise bundles are present but signature verification fails, the service refuses to start and emits a clear log message. There is no silent fallback to community mode in case of tampering.</w:t>
      </w:r>
    </w:p>
    <w:p w14:paraId="3CFFD15E" w14:textId="77777777" w:rsidR="0099437E" w:rsidRPr="003D7036" w:rsidRDefault="00E63A4C">
      <w:pPr>
        <w:pStyle w:val="Prrafodelista"/>
        <w:numPr>
          <w:ilvl w:val="0"/>
          <w:numId w:val="1"/>
        </w:numPr>
        <w:spacing w:after="80"/>
        <w:rPr>
          <w:lang w:val="en-US"/>
        </w:rPr>
      </w:pPr>
      <w:r w:rsidRPr="003D7036">
        <w:rPr>
          <w:color w:val="262626"/>
          <w:lang w:val="en-US"/>
        </w:rPr>
        <w:t xml:space="preserve">Metrics expose arhiax_enterprise_features_available as a </w:t>
      </w:r>
      <w:r w:rsidRPr="003D7036">
        <w:rPr>
          <w:color w:val="262626"/>
          <w:lang w:val="en-US"/>
        </w:rPr>
        <w:t>Prometheus gauge with value 0 or 1, and arhiax_bundles_loaded with the count and edition labels. Community dashboards can query these to display "locked features" hints.</w:t>
      </w:r>
    </w:p>
    <w:p w14:paraId="3D0FDF50" w14:textId="77777777" w:rsidR="0099437E" w:rsidRPr="003D7036" w:rsidRDefault="00E63A4C">
      <w:pPr>
        <w:pStyle w:val="Ttulo2"/>
        <w:rPr>
          <w:lang w:val="en-US"/>
        </w:rPr>
      </w:pPr>
      <w:r w:rsidRPr="003D7036">
        <w:rPr>
          <w:lang w:val="en-US"/>
        </w:rPr>
        <w:t>4.2. Why graceful degradation over strict split or plugin architecture</w:t>
      </w:r>
    </w:p>
    <w:p w14:paraId="24F6C393" w14:textId="77777777" w:rsidR="0099437E" w:rsidRPr="003D7036" w:rsidRDefault="00E63A4C">
      <w:pPr>
        <w:spacing w:after="140" w:line="300" w:lineRule="auto"/>
        <w:jc w:val="both"/>
        <w:rPr>
          <w:lang w:val="en-US"/>
        </w:rPr>
      </w:pPr>
      <w:r w:rsidRPr="003D7036">
        <w:rPr>
          <w:color w:val="262626"/>
          <w:lang w:val="en-US"/>
        </w:rPr>
        <w:t>Three options w</w:t>
      </w:r>
      <w:r w:rsidRPr="003D7036">
        <w:rPr>
          <w:color w:val="262626"/>
          <w:lang w:val="en-US"/>
        </w:rPr>
        <w:t>ere evaluated: strict split (separate Helm charts for Community and Enterprise), graceful degradation (single chart, runtime detection), and plugin architecture (bundles loaded over the network from api.arhiax.com at runtime). The graceful degradation opti</w:t>
      </w:r>
      <w:r w:rsidRPr="003D7036">
        <w:rPr>
          <w:color w:val="262626"/>
          <w:lang w:val="en-US"/>
        </w:rPr>
        <w:t>on was chosen because it produces the cleanest upgrade path for community users.</w:t>
      </w:r>
    </w:p>
    <w:p w14:paraId="29B9AB21" w14:textId="77777777" w:rsidR="0099437E" w:rsidRPr="003D7036" w:rsidRDefault="00E63A4C">
      <w:pPr>
        <w:pStyle w:val="Prrafodelista"/>
        <w:numPr>
          <w:ilvl w:val="0"/>
          <w:numId w:val="1"/>
        </w:numPr>
        <w:spacing w:after="80"/>
        <w:rPr>
          <w:lang w:val="en-US"/>
        </w:rPr>
      </w:pPr>
      <w:r w:rsidRPr="003D7036">
        <w:rPr>
          <w:color w:val="262626"/>
          <w:lang w:val="en-US"/>
        </w:rPr>
        <w:t>A community user runs the chart and gets a working production runtime with 13 bundles. Their Grafana dashboard shows "6 enterprise bundles available — upgrade to ARHIAX Enterp</w:t>
      </w:r>
      <w:r w:rsidRPr="003D7036">
        <w:rPr>
          <w:color w:val="262626"/>
          <w:lang w:val="en-US"/>
        </w:rPr>
        <w:t>rise to enable AIM Identity, Agent Lifecycle, AIM Permissions, Audit Trail Completeness, Incident Response Coordination, and Change Management." There is no broken deployment, no error state, no degraded experience.</w:t>
      </w:r>
    </w:p>
    <w:p w14:paraId="52E6EAD4" w14:textId="77777777" w:rsidR="0099437E" w:rsidRDefault="00E63A4C">
      <w:pPr>
        <w:pStyle w:val="Prrafodelista"/>
        <w:numPr>
          <w:ilvl w:val="0"/>
          <w:numId w:val="1"/>
        </w:numPr>
        <w:spacing w:after="80"/>
      </w:pPr>
      <w:r w:rsidRPr="003D7036">
        <w:rPr>
          <w:color w:val="262626"/>
          <w:lang w:val="en-US"/>
        </w:rPr>
        <w:t>When the community user becomes an enter</w:t>
      </w:r>
      <w:r w:rsidRPr="003D7036">
        <w:rPr>
          <w:color w:val="262626"/>
          <w:lang w:val="en-US"/>
        </w:rPr>
        <w:t xml:space="preserve">prise customer, they receive a signed bundle pack and a deployment guide. They drop the bundle pack into the ConfigMap that backs /var/lib/arhiax/bundles, restart the ATK service, and the 6 enterprise bundles activate. </w:t>
      </w:r>
      <w:r>
        <w:rPr>
          <w:color w:val="262626"/>
        </w:rPr>
        <w:t>No code change, no Helm chart swap, n</w:t>
      </w:r>
      <w:r>
        <w:rPr>
          <w:color w:val="262626"/>
        </w:rPr>
        <w:t>o migration.</w:t>
      </w:r>
    </w:p>
    <w:p w14:paraId="7FCB98AF" w14:textId="77777777" w:rsidR="0099437E" w:rsidRPr="003D7036" w:rsidRDefault="00E63A4C">
      <w:pPr>
        <w:pStyle w:val="Prrafodelista"/>
        <w:numPr>
          <w:ilvl w:val="0"/>
          <w:numId w:val="1"/>
        </w:numPr>
        <w:spacing w:after="80"/>
        <w:rPr>
          <w:lang w:val="en-US"/>
        </w:rPr>
      </w:pPr>
      <w:r w:rsidRPr="003D7036">
        <w:rPr>
          <w:color w:val="262626"/>
          <w:lang w:val="en-US"/>
        </w:rPr>
        <w:t>If the enterprise customer's subscription lapses, the bundle signatures eventually expire (per the validity window declared in each signed bundle). The runtime detects expiration and gracefully degrades back to community mode, with a clear log</w:t>
      </w:r>
      <w:r w:rsidRPr="003D7036">
        <w:rPr>
          <w:color w:val="262626"/>
          <w:lang w:val="en-US"/>
        </w:rPr>
        <w:t xml:space="preserve"> message and a metric. This is contractually clean — the customer is never blocked from operating, they simply lose the enterprise features they stopped paying for.</w:t>
      </w:r>
    </w:p>
    <w:p w14:paraId="40AD7154" w14:textId="77777777" w:rsidR="0099437E" w:rsidRDefault="00E63A4C">
      <w:pPr>
        <w:pStyle w:val="Ttulo2"/>
      </w:pPr>
      <w:r>
        <w:lastRenderedPageBreak/>
        <w:t>4.3. Cryptographic chain of custody</w:t>
      </w:r>
    </w:p>
    <w:p w14:paraId="58E171D1" w14:textId="77777777" w:rsidR="0099437E" w:rsidRPr="003D7036" w:rsidRDefault="00E63A4C">
      <w:pPr>
        <w:pStyle w:val="Prrafodelista"/>
        <w:numPr>
          <w:ilvl w:val="0"/>
          <w:numId w:val="1"/>
        </w:numPr>
        <w:spacing w:after="80"/>
        <w:rPr>
          <w:lang w:val="en-US"/>
        </w:rPr>
      </w:pPr>
      <w:r w:rsidRPr="003D7036">
        <w:rPr>
          <w:color w:val="262626"/>
          <w:lang w:val="en-US"/>
        </w:rPr>
        <w:t>Sinergia maintains two release keys: a community signin</w:t>
      </w:r>
      <w:r w:rsidRPr="003D7036">
        <w:rPr>
          <w:color w:val="262626"/>
          <w:lang w:val="en-US"/>
        </w:rPr>
        <w:t>g key (rotated annually) and an enterprise signing key (rotated quarterly).</w:t>
      </w:r>
    </w:p>
    <w:p w14:paraId="5BD831A5" w14:textId="77777777" w:rsidR="0099437E" w:rsidRPr="003D7036" w:rsidRDefault="00E63A4C">
      <w:pPr>
        <w:pStyle w:val="Prrafodelista"/>
        <w:numPr>
          <w:ilvl w:val="0"/>
          <w:numId w:val="1"/>
        </w:numPr>
        <w:spacing w:after="80"/>
        <w:rPr>
          <w:lang w:val="en-US"/>
        </w:rPr>
      </w:pPr>
      <w:r w:rsidRPr="003D7036">
        <w:rPr>
          <w:color w:val="262626"/>
          <w:lang w:val="en-US"/>
        </w:rPr>
        <w:t>Both public keys are bundled with the ATK service binary and the Helm chart, distributed via the open-source release channel.</w:t>
      </w:r>
    </w:p>
    <w:p w14:paraId="0FF5752A" w14:textId="77777777" w:rsidR="0099437E" w:rsidRPr="003D7036" w:rsidRDefault="00E63A4C">
      <w:pPr>
        <w:pStyle w:val="Prrafodelista"/>
        <w:numPr>
          <w:ilvl w:val="0"/>
          <w:numId w:val="1"/>
        </w:numPr>
        <w:spacing w:after="80"/>
        <w:rPr>
          <w:lang w:val="en-US"/>
        </w:rPr>
      </w:pPr>
      <w:r w:rsidRPr="003D7036">
        <w:rPr>
          <w:color w:val="262626"/>
          <w:lang w:val="en-US"/>
        </w:rPr>
        <w:t>Bundle signatures use Ed25519 over a canonical hash of the bundle content plus a validity window expressed as not-before and not-after timestamps.</w:t>
      </w:r>
    </w:p>
    <w:p w14:paraId="569C8727" w14:textId="77777777" w:rsidR="0099437E" w:rsidRPr="003D7036" w:rsidRDefault="00E63A4C">
      <w:pPr>
        <w:pStyle w:val="Prrafodelista"/>
        <w:numPr>
          <w:ilvl w:val="0"/>
          <w:numId w:val="1"/>
        </w:numPr>
        <w:spacing w:after="80"/>
        <w:rPr>
          <w:lang w:val="en-US"/>
        </w:rPr>
      </w:pPr>
      <w:r w:rsidRPr="003D7036">
        <w:rPr>
          <w:color w:val="262626"/>
          <w:lang w:val="en-US"/>
        </w:rPr>
        <w:t xml:space="preserve">The signature manifest is published at api.arhiax.com/v1/bundles/manifest and mirrored on the public release </w:t>
      </w:r>
      <w:r w:rsidRPr="003D7036">
        <w:rPr>
          <w:color w:val="262626"/>
          <w:lang w:val="en-US"/>
        </w:rPr>
        <w:t>page so that community users can verify the integrity of their community bundles independently.</w:t>
      </w:r>
    </w:p>
    <w:p w14:paraId="4DF9B42A" w14:textId="77777777" w:rsidR="0099437E" w:rsidRPr="003D7036" w:rsidRDefault="00E63A4C">
      <w:pPr>
        <w:pStyle w:val="Prrafodelista"/>
        <w:numPr>
          <w:ilvl w:val="0"/>
          <w:numId w:val="1"/>
        </w:numPr>
        <w:spacing w:after="80"/>
        <w:rPr>
          <w:lang w:val="en-US"/>
        </w:rPr>
      </w:pPr>
      <w:r w:rsidRPr="003D7036">
        <w:rPr>
          <w:color w:val="262626"/>
          <w:lang w:val="en-US"/>
        </w:rPr>
        <w:t>Key compromise procedures and rotation playbooks are documented in the SECURITY.md of the public repo and in the Incident Response Runbooks for the enterprise e</w:t>
      </w:r>
      <w:r w:rsidRPr="003D7036">
        <w:rPr>
          <w:color w:val="262626"/>
          <w:lang w:val="en-US"/>
        </w:rPr>
        <w:t>dition.</w:t>
      </w:r>
    </w:p>
    <w:p w14:paraId="7F8196A8" w14:textId="77777777" w:rsidR="0099437E" w:rsidRPr="003D7036" w:rsidRDefault="00E63A4C">
      <w:pPr>
        <w:rPr>
          <w:lang w:val="en-US"/>
        </w:rPr>
      </w:pPr>
      <w:r w:rsidRPr="003D7036">
        <w:rPr>
          <w:lang w:val="en-US"/>
        </w:rPr>
        <w:br w:type="page"/>
      </w:r>
    </w:p>
    <w:p w14:paraId="297D9E59" w14:textId="77777777" w:rsidR="0099437E" w:rsidRPr="003D7036" w:rsidRDefault="00E63A4C">
      <w:pPr>
        <w:pStyle w:val="Ttulo1"/>
        <w:rPr>
          <w:lang w:val="en-US"/>
        </w:rPr>
      </w:pPr>
      <w:r w:rsidRPr="003D7036">
        <w:rPr>
          <w:lang w:val="en-US"/>
        </w:rPr>
        <w:lastRenderedPageBreak/>
        <w:t>5. Pricing Model</w:t>
      </w:r>
    </w:p>
    <w:p w14:paraId="533084C9" w14:textId="77777777" w:rsidR="0099437E" w:rsidRPr="003D7036" w:rsidRDefault="00E63A4C">
      <w:pPr>
        <w:spacing w:after="140" w:line="300" w:lineRule="auto"/>
        <w:jc w:val="both"/>
        <w:rPr>
          <w:lang w:val="en-US"/>
        </w:rPr>
      </w:pPr>
      <w:r w:rsidRPr="003D7036">
        <w:rPr>
          <w:color w:val="262626"/>
          <w:lang w:val="en-US"/>
        </w:rPr>
        <w:t>The pricing model is designed to be honest with the value structure of the product, easy for procurement to budget, and aligned with the strategic positioning of ARHIAX as the framework that brings agentic governance under contro</w:t>
      </w:r>
      <w:r w:rsidRPr="003D7036">
        <w:rPr>
          <w:color w:val="262626"/>
          <w:lang w:val="en-US"/>
        </w:rPr>
        <w:t>l rather than adding cost on top of it.</w:t>
      </w:r>
    </w:p>
    <w:p w14:paraId="076305AA" w14:textId="77777777" w:rsidR="0099437E" w:rsidRPr="003D7036" w:rsidRDefault="00E63A4C">
      <w:pPr>
        <w:pStyle w:val="Ttulo2"/>
        <w:rPr>
          <w:lang w:val="en-US"/>
        </w:rPr>
      </w:pPr>
      <w:r w:rsidRPr="003D7036">
        <w:rPr>
          <w:lang w:val="en-US"/>
        </w:rPr>
        <w:t>5.1. The pricing principle: "governance dividend, not governance tax"</w:t>
      </w:r>
    </w:p>
    <w:p w14:paraId="7CDCFAC9" w14:textId="77777777" w:rsidR="0099437E" w:rsidRPr="003D7036" w:rsidRDefault="00E63A4C">
      <w:pPr>
        <w:spacing w:after="140" w:line="300" w:lineRule="auto"/>
        <w:jc w:val="both"/>
        <w:rPr>
          <w:lang w:val="en-US"/>
        </w:rPr>
      </w:pPr>
      <w:r w:rsidRPr="003D7036">
        <w:rPr>
          <w:color w:val="262626"/>
          <w:lang w:val="en-US"/>
        </w:rPr>
        <w:t>Most agentic AI security platforms (Prisma AIRS, Zenity, Lasso Security, Gravitee) price per agent or per request, which means that as the custome</w:t>
      </w:r>
      <w:r w:rsidRPr="003D7036">
        <w:rPr>
          <w:color w:val="262626"/>
          <w:lang w:val="en-US"/>
        </w:rPr>
        <w:t xml:space="preserve">r's agentic deployment grows, the security cost grows proportionally — governance becomes a tax that scales with success. This dynamic creates an incentive to under-deploy governance, exactly the wrong incentive in an environment where agentic systems are </w:t>
      </w:r>
      <w:r w:rsidRPr="003D7036">
        <w:rPr>
          <w:color w:val="262626"/>
          <w:lang w:val="en-US"/>
        </w:rPr>
        <w:t>becoming foundational infrastructure.</w:t>
      </w:r>
    </w:p>
    <w:p w14:paraId="448DDB6B" w14:textId="77777777" w:rsidR="0099437E" w:rsidRPr="003D7036" w:rsidRDefault="00E63A4C">
      <w:pPr>
        <w:spacing w:after="140" w:line="300" w:lineRule="auto"/>
        <w:jc w:val="both"/>
        <w:rPr>
          <w:lang w:val="en-US"/>
        </w:rPr>
      </w:pPr>
      <w:r w:rsidRPr="003D7036">
        <w:rPr>
          <w:color w:val="262626"/>
          <w:lang w:val="en-US"/>
        </w:rPr>
        <w:t>ARHIAX inverts this. The pricing model is not per-agent and not per-envelope. It is structured around three orthogonal dimensions that capture value where Sinergia actually creates value: the operational scale of the d</w:t>
      </w:r>
      <w:r w:rsidRPr="003D7036">
        <w:rPr>
          <w:color w:val="262626"/>
          <w:lang w:val="en-US"/>
        </w:rPr>
        <w:t>eployment (which drives infrastructure cost), the risk profile of the use case (which drives the depth of governance needed), and the regulatory surface (which drives the certification work). Within each dimension, marginal cost decreases as the customer s</w:t>
      </w:r>
      <w:r w:rsidRPr="003D7036">
        <w:rPr>
          <w:color w:val="262626"/>
          <w:lang w:val="en-US"/>
        </w:rPr>
        <w:t>cales — the bigger the deployment, the lower the cost per unit of governance. This converts ARHIAX from a tax into a dividend: customers who govern more agents get cheaper governance per agent.</w:t>
      </w:r>
    </w:p>
    <w:p w14:paraId="11276F04" w14:textId="77777777" w:rsidR="0099437E" w:rsidRPr="003D7036" w:rsidRDefault="00E63A4C">
      <w:pPr>
        <w:pStyle w:val="Ttulo2"/>
        <w:rPr>
          <w:lang w:val="en-US"/>
        </w:rPr>
      </w:pPr>
      <w:r w:rsidRPr="003D7036">
        <w:rPr>
          <w:lang w:val="en-US"/>
        </w:rPr>
        <w:t>5.2. Three pricing dimensions</w:t>
      </w:r>
    </w:p>
    <w:p w14:paraId="30DAA972" w14:textId="77777777" w:rsidR="0099437E" w:rsidRPr="003D7036" w:rsidRDefault="00E63A4C">
      <w:pPr>
        <w:pStyle w:val="Ttulo3"/>
        <w:rPr>
          <w:lang w:val="en-US"/>
        </w:rPr>
      </w:pPr>
      <w:r w:rsidRPr="003D7036">
        <w:rPr>
          <w:lang w:val="en-US"/>
        </w:rPr>
        <w:t>Dimension 1 — Deployment scale t</w:t>
      </w:r>
      <w:r w:rsidRPr="003D7036">
        <w:rPr>
          <w:lang w:val="en-US"/>
        </w:rPr>
        <w:t>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0"/>
        <w:gridCol w:w="4627"/>
        <w:gridCol w:w="2833"/>
      </w:tblGrid>
      <w:tr w:rsidR="0099437E" w14:paraId="07B479DE"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tcPr>
          <w:p w14:paraId="4FA34EB5" w14:textId="77777777" w:rsidR="0099437E" w:rsidRDefault="00E63A4C">
            <w:pPr>
              <w:spacing w:after="40"/>
            </w:pPr>
            <w:r>
              <w:rPr>
                <w:b/>
                <w:bCs/>
                <w:color w:val="FFFFFF"/>
                <w:sz w:val="20"/>
                <w:szCs w:val="20"/>
              </w:rPr>
              <w:t>Tier</w:t>
            </w:r>
          </w:p>
        </w:tc>
        <w:tc>
          <w:tcPr>
            <w:tcW w:w="5000" w:type="dxa"/>
            <w:shd w:val="clear" w:color="auto" w:fill="1F3864"/>
            <w:tcMar>
              <w:top w:w="100" w:type="dxa"/>
              <w:left w:w="120" w:type="dxa"/>
              <w:bottom w:w="100" w:type="dxa"/>
              <w:right w:w="120" w:type="dxa"/>
            </w:tcMar>
          </w:tcPr>
          <w:p w14:paraId="470F5CDB" w14:textId="77777777" w:rsidR="0099437E" w:rsidRDefault="00E63A4C">
            <w:pPr>
              <w:spacing w:after="40"/>
            </w:pPr>
            <w:r>
              <w:rPr>
                <w:b/>
                <w:bCs/>
                <w:color w:val="FFFFFF"/>
                <w:sz w:val="20"/>
                <w:szCs w:val="20"/>
              </w:rPr>
              <w:t>Deployment profile</w:t>
            </w:r>
          </w:p>
        </w:tc>
        <w:tc>
          <w:tcPr>
            <w:tcW w:w="3000" w:type="dxa"/>
            <w:shd w:val="clear" w:color="auto" w:fill="1F3864"/>
            <w:tcMar>
              <w:top w:w="100" w:type="dxa"/>
              <w:left w:w="120" w:type="dxa"/>
              <w:bottom w:w="100" w:type="dxa"/>
              <w:right w:w="120" w:type="dxa"/>
            </w:tcMar>
          </w:tcPr>
          <w:p w14:paraId="336A1500" w14:textId="77777777" w:rsidR="0099437E" w:rsidRDefault="00E63A4C">
            <w:pPr>
              <w:spacing w:after="40"/>
            </w:pPr>
            <w:r>
              <w:rPr>
                <w:b/>
                <w:bCs/>
                <w:color w:val="FFFFFF"/>
                <w:sz w:val="20"/>
                <w:szCs w:val="20"/>
              </w:rPr>
              <w:t>Annual base</w:t>
            </w:r>
          </w:p>
        </w:tc>
      </w:tr>
      <w:tr w:rsidR="0099437E" w:rsidRPr="003D7036" w14:paraId="204E296E" w14:textId="77777777">
        <w:tblPrEx>
          <w:tblCellMar>
            <w:top w:w="0" w:type="dxa"/>
            <w:bottom w:w="0" w:type="dxa"/>
          </w:tblCellMar>
        </w:tblPrEx>
        <w:tc>
          <w:tcPr>
            <w:tcW w:w="2000" w:type="dxa"/>
            <w:tcMar>
              <w:top w:w="100" w:type="dxa"/>
              <w:left w:w="120" w:type="dxa"/>
              <w:bottom w:w="100" w:type="dxa"/>
              <w:right w:w="120" w:type="dxa"/>
            </w:tcMar>
          </w:tcPr>
          <w:p w14:paraId="31B3FD76" w14:textId="77777777" w:rsidR="0099437E" w:rsidRDefault="00E63A4C">
            <w:pPr>
              <w:spacing w:after="40"/>
            </w:pPr>
            <w:r>
              <w:rPr>
                <w:b/>
                <w:bCs/>
                <w:color w:val="262626"/>
                <w:sz w:val="20"/>
                <w:szCs w:val="20"/>
              </w:rPr>
              <w:t>Starter</w:t>
            </w:r>
          </w:p>
        </w:tc>
        <w:tc>
          <w:tcPr>
            <w:tcW w:w="2000" w:type="dxa"/>
            <w:tcMar>
              <w:top w:w="100" w:type="dxa"/>
              <w:left w:w="120" w:type="dxa"/>
              <w:bottom w:w="100" w:type="dxa"/>
              <w:right w:w="120" w:type="dxa"/>
            </w:tcMar>
          </w:tcPr>
          <w:p w14:paraId="610F5A1A" w14:textId="77777777" w:rsidR="0099437E" w:rsidRPr="003D7036" w:rsidRDefault="00E63A4C">
            <w:pPr>
              <w:spacing w:after="40"/>
              <w:rPr>
                <w:lang w:val="en-US"/>
              </w:rPr>
            </w:pPr>
            <w:r w:rsidRPr="003D7036">
              <w:rPr>
                <w:color w:val="262626"/>
                <w:sz w:val="20"/>
                <w:szCs w:val="20"/>
                <w:lang w:val="en-US"/>
              </w:rPr>
              <w:t>Up to 100 agents under governance, single cluster, single region, non-regulated use case, evaluation or proof of concept.</w:t>
            </w:r>
          </w:p>
        </w:tc>
        <w:tc>
          <w:tcPr>
            <w:tcW w:w="2000" w:type="dxa"/>
            <w:tcMar>
              <w:top w:w="100" w:type="dxa"/>
              <w:left w:w="120" w:type="dxa"/>
              <w:bottom w:w="100" w:type="dxa"/>
              <w:right w:w="120" w:type="dxa"/>
            </w:tcMar>
          </w:tcPr>
          <w:p w14:paraId="2500872A" w14:textId="77777777" w:rsidR="0099437E" w:rsidRPr="003D7036" w:rsidRDefault="00E63A4C">
            <w:pPr>
              <w:spacing w:after="40"/>
              <w:rPr>
                <w:lang w:val="en-US"/>
              </w:rPr>
            </w:pPr>
            <w:r w:rsidRPr="003D7036">
              <w:rPr>
                <w:color w:val="262626"/>
                <w:sz w:val="20"/>
                <w:szCs w:val="20"/>
                <w:lang w:val="en-US"/>
              </w:rPr>
              <w:t>Free for first 6 months, then USD 9,600/year</w:t>
            </w:r>
          </w:p>
        </w:tc>
      </w:tr>
      <w:tr w:rsidR="0099437E" w14:paraId="0F38C258" w14:textId="77777777">
        <w:tblPrEx>
          <w:tblCellMar>
            <w:top w:w="0" w:type="dxa"/>
            <w:bottom w:w="0" w:type="dxa"/>
          </w:tblCellMar>
        </w:tblPrEx>
        <w:tc>
          <w:tcPr>
            <w:tcW w:w="2000" w:type="dxa"/>
            <w:tcMar>
              <w:top w:w="100" w:type="dxa"/>
              <w:left w:w="120" w:type="dxa"/>
              <w:bottom w:w="100" w:type="dxa"/>
              <w:right w:w="120" w:type="dxa"/>
            </w:tcMar>
          </w:tcPr>
          <w:p w14:paraId="71982C43" w14:textId="77777777" w:rsidR="0099437E" w:rsidRDefault="00E63A4C">
            <w:pPr>
              <w:spacing w:after="40"/>
            </w:pPr>
            <w:r>
              <w:rPr>
                <w:b/>
                <w:bCs/>
                <w:color w:val="262626"/>
                <w:sz w:val="20"/>
                <w:szCs w:val="20"/>
              </w:rPr>
              <w:t>Growth</w:t>
            </w:r>
          </w:p>
        </w:tc>
        <w:tc>
          <w:tcPr>
            <w:tcW w:w="2000" w:type="dxa"/>
            <w:tcMar>
              <w:top w:w="100" w:type="dxa"/>
              <w:left w:w="120" w:type="dxa"/>
              <w:bottom w:w="100" w:type="dxa"/>
              <w:right w:w="120" w:type="dxa"/>
            </w:tcMar>
          </w:tcPr>
          <w:p w14:paraId="75E6F53B" w14:textId="77777777" w:rsidR="0099437E" w:rsidRPr="003D7036" w:rsidRDefault="00E63A4C">
            <w:pPr>
              <w:spacing w:after="40"/>
              <w:rPr>
                <w:lang w:val="en-US"/>
              </w:rPr>
            </w:pPr>
            <w:r w:rsidRPr="003D7036">
              <w:rPr>
                <w:color w:val="262626"/>
                <w:sz w:val="20"/>
                <w:szCs w:val="20"/>
                <w:lang w:val="en-US"/>
              </w:rPr>
              <w:t>Up to 1,000 agents, multi-cluster within single region, regulated use case in one regulatory regime.</w:t>
            </w:r>
          </w:p>
        </w:tc>
        <w:tc>
          <w:tcPr>
            <w:tcW w:w="2000" w:type="dxa"/>
            <w:tcMar>
              <w:top w:w="100" w:type="dxa"/>
              <w:left w:w="120" w:type="dxa"/>
              <w:bottom w:w="100" w:type="dxa"/>
              <w:right w:w="120" w:type="dxa"/>
            </w:tcMar>
          </w:tcPr>
          <w:p w14:paraId="385AD20B" w14:textId="77777777" w:rsidR="0099437E" w:rsidRDefault="00E63A4C">
            <w:pPr>
              <w:spacing w:after="40"/>
            </w:pPr>
            <w:r>
              <w:rPr>
                <w:color w:val="262626"/>
                <w:sz w:val="20"/>
                <w:szCs w:val="20"/>
              </w:rPr>
              <w:t>USD 36,000/year</w:t>
            </w:r>
          </w:p>
        </w:tc>
      </w:tr>
      <w:tr w:rsidR="0099437E" w14:paraId="05D20F83" w14:textId="77777777">
        <w:tblPrEx>
          <w:tblCellMar>
            <w:top w:w="0" w:type="dxa"/>
            <w:bottom w:w="0" w:type="dxa"/>
          </w:tblCellMar>
        </w:tblPrEx>
        <w:tc>
          <w:tcPr>
            <w:tcW w:w="2000" w:type="dxa"/>
            <w:tcMar>
              <w:top w:w="100" w:type="dxa"/>
              <w:left w:w="120" w:type="dxa"/>
              <w:bottom w:w="100" w:type="dxa"/>
              <w:right w:w="120" w:type="dxa"/>
            </w:tcMar>
          </w:tcPr>
          <w:p w14:paraId="0F84755A" w14:textId="77777777" w:rsidR="0099437E" w:rsidRDefault="00E63A4C">
            <w:pPr>
              <w:spacing w:after="40"/>
            </w:pPr>
            <w:r>
              <w:rPr>
                <w:b/>
                <w:bCs/>
                <w:color w:val="262626"/>
                <w:sz w:val="20"/>
                <w:szCs w:val="20"/>
              </w:rPr>
              <w:t>Scale</w:t>
            </w:r>
          </w:p>
        </w:tc>
        <w:tc>
          <w:tcPr>
            <w:tcW w:w="2000" w:type="dxa"/>
            <w:tcMar>
              <w:top w:w="100" w:type="dxa"/>
              <w:left w:w="120" w:type="dxa"/>
              <w:bottom w:w="100" w:type="dxa"/>
              <w:right w:w="120" w:type="dxa"/>
            </w:tcMar>
          </w:tcPr>
          <w:p w14:paraId="6796A6D4" w14:textId="77777777" w:rsidR="0099437E" w:rsidRPr="003D7036" w:rsidRDefault="00E63A4C">
            <w:pPr>
              <w:spacing w:after="40"/>
              <w:rPr>
                <w:lang w:val="en-US"/>
              </w:rPr>
            </w:pPr>
            <w:r w:rsidRPr="003D7036">
              <w:rPr>
                <w:color w:val="262626"/>
                <w:sz w:val="20"/>
                <w:szCs w:val="20"/>
                <w:lang w:val="en-US"/>
              </w:rPr>
              <w:t>Up to 10,000 agents, multi-region, regulated in two regimes (e.g., LGPD + GDPR).</w:t>
            </w:r>
          </w:p>
        </w:tc>
        <w:tc>
          <w:tcPr>
            <w:tcW w:w="2000" w:type="dxa"/>
            <w:tcMar>
              <w:top w:w="100" w:type="dxa"/>
              <w:left w:w="120" w:type="dxa"/>
              <w:bottom w:w="100" w:type="dxa"/>
              <w:right w:w="120" w:type="dxa"/>
            </w:tcMar>
          </w:tcPr>
          <w:p w14:paraId="198B0881" w14:textId="77777777" w:rsidR="0099437E" w:rsidRDefault="00E63A4C">
            <w:pPr>
              <w:spacing w:after="40"/>
            </w:pPr>
            <w:r>
              <w:rPr>
                <w:color w:val="262626"/>
                <w:sz w:val="20"/>
                <w:szCs w:val="20"/>
              </w:rPr>
              <w:t>USD 120,000/year</w:t>
            </w:r>
          </w:p>
        </w:tc>
      </w:tr>
      <w:tr w:rsidR="0099437E" w14:paraId="7C2A8039" w14:textId="77777777">
        <w:tblPrEx>
          <w:tblCellMar>
            <w:top w:w="0" w:type="dxa"/>
            <w:bottom w:w="0" w:type="dxa"/>
          </w:tblCellMar>
        </w:tblPrEx>
        <w:tc>
          <w:tcPr>
            <w:tcW w:w="2000" w:type="dxa"/>
            <w:tcMar>
              <w:top w:w="100" w:type="dxa"/>
              <w:left w:w="120" w:type="dxa"/>
              <w:bottom w:w="100" w:type="dxa"/>
              <w:right w:w="120" w:type="dxa"/>
            </w:tcMar>
          </w:tcPr>
          <w:p w14:paraId="66A9D57A" w14:textId="77777777" w:rsidR="0099437E" w:rsidRDefault="00E63A4C">
            <w:pPr>
              <w:spacing w:after="40"/>
            </w:pPr>
            <w:r>
              <w:rPr>
                <w:b/>
                <w:bCs/>
                <w:color w:val="262626"/>
                <w:sz w:val="20"/>
                <w:szCs w:val="20"/>
              </w:rPr>
              <w:t>Mission</w:t>
            </w:r>
          </w:p>
        </w:tc>
        <w:tc>
          <w:tcPr>
            <w:tcW w:w="2000" w:type="dxa"/>
            <w:tcMar>
              <w:top w:w="100" w:type="dxa"/>
              <w:left w:w="120" w:type="dxa"/>
              <w:bottom w:w="100" w:type="dxa"/>
              <w:right w:w="120" w:type="dxa"/>
            </w:tcMar>
          </w:tcPr>
          <w:p w14:paraId="1C6F8EB3" w14:textId="77777777" w:rsidR="0099437E" w:rsidRPr="003D7036" w:rsidRDefault="00E63A4C">
            <w:pPr>
              <w:spacing w:after="40"/>
              <w:rPr>
                <w:lang w:val="en-US"/>
              </w:rPr>
            </w:pPr>
            <w:r w:rsidRPr="003D7036">
              <w:rPr>
                <w:color w:val="262626"/>
                <w:sz w:val="20"/>
                <w:szCs w:val="20"/>
                <w:lang w:val="en-US"/>
              </w:rPr>
              <w:t xml:space="preserve">Unlimited agents, global </w:t>
            </w:r>
            <w:r w:rsidRPr="003D7036">
              <w:rPr>
                <w:color w:val="262626"/>
                <w:sz w:val="20"/>
                <w:szCs w:val="20"/>
                <w:lang w:val="en-US"/>
              </w:rPr>
              <w:t>multi-region, regulated in three or more regimes, mission-critical SLA.</w:t>
            </w:r>
          </w:p>
        </w:tc>
        <w:tc>
          <w:tcPr>
            <w:tcW w:w="2000" w:type="dxa"/>
            <w:tcMar>
              <w:top w:w="100" w:type="dxa"/>
              <w:left w:w="120" w:type="dxa"/>
              <w:bottom w:w="100" w:type="dxa"/>
              <w:right w:w="120" w:type="dxa"/>
            </w:tcMar>
          </w:tcPr>
          <w:p w14:paraId="7EC239A6" w14:textId="77777777" w:rsidR="0099437E" w:rsidRDefault="00E63A4C">
            <w:pPr>
              <w:spacing w:after="40"/>
            </w:pPr>
            <w:r>
              <w:rPr>
                <w:color w:val="262626"/>
                <w:sz w:val="20"/>
                <w:szCs w:val="20"/>
              </w:rPr>
              <w:t>USD 360,000/year</w:t>
            </w:r>
          </w:p>
        </w:tc>
      </w:tr>
    </w:tbl>
    <w:p w14:paraId="058612B5" w14:textId="77777777" w:rsidR="0099437E" w:rsidRPr="003D7036" w:rsidRDefault="00E63A4C">
      <w:pPr>
        <w:spacing w:after="140" w:line="300" w:lineRule="auto"/>
        <w:jc w:val="both"/>
        <w:rPr>
          <w:lang w:val="en-US"/>
        </w:rPr>
      </w:pPr>
      <w:r w:rsidRPr="003D7036">
        <w:rPr>
          <w:color w:val="262626"/>
          <w:lang w:val="en-US"/>
        </w:rPr>
        <w:t>Note that the per-agent cost decreases sharply across tiers: USD 96 per agent at Starter, USD 36 at Growth, USD 12 at Scale, and effectively unbounded at Mission. A c</w:t>
      </w:r>
      <w:r w:rsidRPr="003D7036">
        <w:rPr>
          <w:color w:val="262626"/>
          <w:lang w:val="en-US"/>
        </w:rPr>
        <w:t>ustomer who grows from Starter to Mission saves money per agent at every step. This is the "governance dividend" effect.</w:t>
      </w:r>
    </w:p>
    <w:p w14:paraId="038850F2" w14:textId="77777777" w:rsidR="0099437E" w:rsidRPr="003D7036" w:rsidRDefault="00E63A4C">
      <w:pPr>
        <w:pStyle w:val="Ttulo3"/>
        <w:rPr>
          <w:lang w:val="en-US"/>
        </w:rPr>
      </w:pPr>
      <w:r w:rsidRPr="003D7036">
        <w:rPr>
          <w:lang w:val="en-US"/>
        </w:rPr>
        <w:t>Dimension 2 — Risk profile add-ons</w:t>
      </w:r>
    </w:p>
    <w:p w14:paraId="1F960751" w14:textId="77777777" w:rsidR="0099437E" w:rsidRPr="003D7036" w:rsidRDefault="00E63A4C">
      <w:pPr>
        <w:spacing w:after="140" w:line="300" w:lineRule="auto"/>
        <w:jc w:val="both"/>
        <w:rPr>
          <w:lang w:val="en-US"/>
        </w:rPr>
      </w:pPr>
      <w:r w:rsidRPr="003D7036">
        <w:rPr>
          <w:color w:val="262626"/>
          <w:lang w:val="en-US"/>
        </w:rPr>
        <w:lastRenderedPageBreak/>
        <w:t>The base tier includes the 6 enterprise bundles and the API of intelligence with standard threat fee</w:t>
      </w:r>
      <w:r w:rsidRPr="003D7036">
        <w:rPr>
          <w:color w:val="262626"/>
          <w:lang w:val="en-US"/>
        </w:rPr>
        <w:t>d update frequency (weekly). Customers in higher-risk verticals can subscribe to add-ons that increase update frequency and add specialized intelligence.</w:t>
      </w:r>
    </w:p>
    <w:p w14:paraId="59A37921" w14:textId="77777777" w:rsidR="0099437E" w:rsidRDefault="00E63A4C">
      <w:pPr>
        <w:pStyle w:val="Prrafodelista"/>
        <w:numPr>
          <w:ilvl w:val="0"/>
          <w:numId w:val="1"/>
        </w:numPr>
        <w:spacing w:after="80"/>
      </w:pPr>
      <w:r w:rsidRPr="003D7036">
        <w:rPr>
          <w:color w:val="262626"/>
          <w:lang w:val="en-US"/>
        </w:rPr>
        <w:t>Threat Intelligence Premium: daily updates instead of weekly, plus early access to novel attack signat</w:t>
      </w:r>
      <w:r w:rsidRPr="003D7036">
        <w:rPr>
          <w:color w:val="262626"/>
          <w:lang w:val="en-US"/>
        </w:rPr>
        <w:t xml:space="preserve">ures from Sinergia's research team. </w:t>
      </w:r>
      <w:r>
        <w:rPr>
          <w:color w:val="262626"/>
        </w:rPr>
        <w:t>USD 24,000/year flat.</w:t>
      </w:r>
    </w:p>
    <w:p w14:paraId="6F6AC47F" w14:textId="77777777" w:rsidR="0099437E" w:rsidRPr="003D7036" w:rsidRDefault="00E63A4C">
      <w:pPr>
        <w:pStyle w:val="Prrafodelista"/>
        <w:numPr>
          <w:ilvl w:val="0"/>
          <w:numId w:val="1"/>
        </w:numPr>
        <w:spacing w:after="80"/>
        <w:rPr>
          <w:lang w:val="en-US"/>
        </w:rPr>
      </w:pPr>
      <w:r w:rsidRPr="003D7036">
        <w:rPr>
          <w:color w:val="262626"/>
          <w:lang w:val="en-US"/>
        </w:rPr>
        <w:t>Vertical Baselines: pre-trained behavioral baselines for the customer's vertical (port logistics, fintech, healthcare, retail, government, telecom, energy). First vertical free with any tier; additi</w:t>
      </w:r>
      <w:r w:rsidRPr="003D7036">
        <w:rPr>
          <w:color w:val="262626"/>
          <w:lang w:val="en-US"/>
        </w:rPr>
        <w:t>onal verticals USD 12,000/year each.</w:t>
      </w:r>
    </w:p>
    <w:p w14:paraId="6E013059" w14:textId="77777777" w:rsidR="0099437E" w:rsidRDefault="00E63A4C">
      <w:pPr>
        <w:pStyle w:val="Prrafodelista"/>
        <w:numPr>
          <w:ilvl w:val="0"/>
          <w:numId w:val="1"/>
        </w:numPr>
        <w:spacing w:after="80"/>
      </w:pPr>
      <w:r w:rsidRPr="003D7036">
        <w:rPr>
          <w:color w:val="262626"/>
          <w:lang w:val="en-US"/>
        </w:rPr>
        <w:t xml:space="preserve">Rapid Response Bundle Updates: emergency out-of-cycle bundle updates within 4 hours of confirmed novel attack detection. </w:t>
      </w:r>
      <w:r>
        <w:rPr>
          <w:color w:val="262626"/>
        </w:rPr>
        <w:t>USD 36,000/year flat.</w:t>
      </w:r>
    </w:p>
    <w:p w14:paraId="3EA8BC0B" w14:textId="77777777" w:rsidR="0099437E" w:rsidRDefault="00E63A4C">
      <w:pPr>
        <w:pStyle w:val="Prrafodelista"/>
        <w:numPr>
          <w:ilvl w:val="0"/>
          <w:numId w:val="1"/>
        </w:numPr>
        <w:spacing w:after="80"/>
      </w:pPr>
      <w:r w:rsidRPr="003D7036">
        <w:rPr>
          <w:color w:val="262626"/>
          <w:lang w:val="en-US"/>
        </w:rPr>
        <w:t>Custom Bundle Development: Sinergia engineering writes custom bundles for the customer's specific use case, deliv</w:t>
      </w:r>
      <w:r w:rsidRPr="003D7036">
        <w:rPr>
          <w:color w:val="262626"/>
          <w:lang w:val="en-US"/>
        </w:rPr>
        <w:t xml:space="preserve">ered as private bundles signed with the customer's dedicated key. </w:t>
      </w:r>
      <w:r>
        <w:rPr>
          <w:color w:val="262626"/>
        </w:rPr>
        <w:t>Quoted per project, typically USD 60,000–180,000.</w:t>
      </w:r>
    </w:p>
    <w:p w14:paraId="6A42D99F" w14:textId="77777777" w:rsidR="0099437E" w:rsidRDefault="00E63A4C">
      <w:pPr>
        <w:pStyle w:val="Ttulo3"/>
      </w:pPr>
      <w:r>
        <w:t>Dimension 3 — Compliance certification</w:t>
      </w:r>
    </w:p>
    <w:p w14:paraId="21A38A9F" w14:textId="77777777" w:rsidR="0099437E" w:rsidRDefault="00E63A4C">
      <w:pPr>
        <w:spacing w:after="140" w:line="300" w:lineRule="auto"/>
        <w:jc w:val="both"/>
      </w:pPr>
      <w:r w:rsidRPr="003D7036">
        <w:rPr>
          <w:color w:val="262626"/>
          <w:lang w:val="en-US"/>
        </w:rPr>
        <w:t>Enterprise customers in regulated verticals frequently need third-party certification that their ARHI</w:t>
      </w:r>
      <w:r w:rsidRPr="003D7036">
        <w:rPr>
          <w:color w:val="262626"/>
          <w:lang w:val="en-US"/>
        </w:rPr>
        <w:t xml:space="preserve">AX deployment meets a specific regulatory standard. </w:t>
      </w:r>
      <w:r>
        <w:rPr>
          <w:color w:val="262626"/>
        </w:rPr>
        <w:t>Sinergia offers certification services in partnership with independent auditors.</w:t>
      </w:r>
    </w:p>
    <w:p w14:paraId="1A09B1C8" w14:textId="77777777" w:rsidR="0099437E" w:rsidRPr="003D7036" w:rsidRDefault="00E63A4C">
      <w:pPr>
        <w:pStyle w:val="Prrafodelista"/>
        <w:numPr>
          <w:ilvl w:val="0"/>
          <w:numId w:val="1"/>
        </w:numPr>
        <w:spacing w:after="80"/>
        <w:rPr>
          <w:lang w:val="en-US"/>
        </w:rPr>
      </w:pPr>
      <w:r w:rsidRPr="003D7036">
        <w:rPr>
          <w:color w:val="262626"/>
          <w:lang w:val="en-US"/>
        </w:rPr>
        <w:t>Annual Compliance Attestation: independent audit of the customer's ARHIAX deployment producing a formal attestation documen</w:t>
      </w:r>
      <w:r w:rsidRPr="003D7036">
        <w:rPr>
          <w:color w:val="262626"/>
          <w:lang w:val="en-US"/>
        </w:rPr>
        <w:t>t suitable for submission to regulators. Includes Sinergia engineering support during the audit. USD 48,000/year per regulatory regime.</w:t>
      </w:r>
    </w:p>
    <w:p w14:paraId="00F60C18" w14:textId="77777777" w:rsidR="0099437E" w:rsidRDefault="00E63A4C">
      <w:pPr>
        <w:pStyle w:val="Prrafodelista"/>
        <w:numPr>
          <w:ilvl w:val="0"/>
          <w:numId w:val="1"/>
        </w:numPr>
        <w:spacing w:after="80"/>
      </w:pPr>
      <w:r w:rsidRPr="003D7036">
        <w:rPr>
          <w:color w:val="262626"/>
          <w:lang w:val="en-US"/>
        </w:rPr>
        <w:t xml:space="preserve">Pre-Audit Readiness Assessment: gap analysis against a target framework before formal audit. </w:t>
      </w:r>
      <w:r>
        <w:rPr>
          <w:color w:val="262626"/>
        </w:rPr>
        <w:t>USD 18,000 one-time.</w:t>
      </w:r>
    </w:p>
    <w:p w14:paraId="7A3A9E4D" w14:textId="77777777" w:rsidR="0099437E" w:rsidRDefault="00E63A4C">
      <w:pPr>
        <w:pStyle w:val="Prrafodelista"/>
        <w:numPr>
          <w:ilvl w:val="0"/>
          <w:numId w:val="1"/>
        </w:numPr>
        <w:spacing w:after="80"/>
      </w:pPr>
      <w:r w:rsidRPr="003D7036">
        <w:rPr>
          <w:color w:val="262626"/>
          <w:lang w:val="en-US"/>
        </w:rPr>
        <w:t xml:space="preserve">Audit </w:t>
      </w:r>
      <w:r w:rsidRPr="003D7036">
        <w:rPr>
          <w:color w:val="262626"/>
          <w:lang w:val="en-US"/>
        </w:rPr>
        <w:t xml:space="preserve">Defense: Sinergia engineering on standby to respond to regulator questions during a formal audit. </w:t>
      </w:r>
      <w:r>
        <w:rPr>
          <w:color w:val="262626"/>
        </w:rPr>
        <w:t>USD 24,000/year retainer.</w:t>
      </w:r>
    </w:p>
    <w:p w14:paraId="35D7E8E9" w14:textId="77777777" w:rsidR="0099437E" w:rsidRDefault="00E63A4C">
      <w:pPr>
        <w:pStyle w:val="Ttulo2"/>
      </w:pPr>
      <w:r>
        <w:t>5.3. Worked examples</w:t>
      </w:r>
    </w:p>
    <w:tbl>
      <w:tblPr>
        <w:tblW w:w="5000" w:type="pct"/>
        <w:tblBorders>
          <w:top w:val="single" w:sz="12" w:space="0" w:color="548235"/>
          <w:left w:val="single" w:sz="12" w:space="0" w:color="548235"/>
          <w:bottom w:val="single" w:sz="12" w:space="0" w:color="548235"/>
          <w:right w:val="single" w:sz="12" w:space="0" w:color="548235"/>
        </w:tblBorders>
        <w:tblCellMar>
          <w:left w:w="10" w:type="dxa"/>
          <w:right w:w="10" w:type="dxa"/>
        </w:tblCellMar>
        <w:tblLook w:val="04A0" w:firstRow="1" w:lastRow="0" w:firstColumn="1" w:lastColumn="0" w:noHBand="0" w:noVBand="1"/>
      </w:tblPr>
      <w:tblGrid>
        <w:gridCol w:w="9330"/>
      </w:tblGrid>
      <w:tr w:rsidR="0099437E" w:rsidRPr="003D7036" w14:paraId="3E9063F9" w14:textId="77777777">
        <w:tblPrEx>
          <w:tblCellMar>
            <w:top w:w="0" w:type="dxa"/>
            <w:bottom w:w="0" w:type="dxa"/>
          </w:tblCellMar>
        </w:tblPrEx>
        <w:tc>
          <w:tcPr>
            <w:tcW w:w="0" w:type="auto"/>
            <w:shd w:val="clear" w:color="auto" w:fill="E2EFDA"/>
            <w:tcMar>
              <w:top w:w="160" w:type="dxa"/>
              <w:left w:w="200" w:type="dxa"/>
              <w:bottom w:w="160" w:type="dxa"/>
              <w:right w:w="200" w:type="dxa"/>
            </w:tcMar>
          </w:tcPr>
          <w:p w14:paraId="370EF81B" w14:textId="77777777" w:rsidR="0099437E" w:rsidRDefault="00E63A4C">
            <w:pPr>
              <w:spacing w:after="80"/>
            </w:pPr>
            <w:r>
              <w:rPr>
                <w:b/>
                <w:bCs/>
                <w:color w:val="548235"/>
              </w:rPr>
              <w:t>Example 1 — Mid-size Brazilian PSAV</w:t>
            </w:r>
          </w:p>
          <w:p w14:paraId="5450E5E5" w14:textId="77777777" w:rsidR="0099437E" w:rsidRPr="003D7036" w:rsidRDefault="00E63A4C">
            <w:pPr>
              <w:rPr>
                <w:lang w:val="en-US"/>
              </w:rPr>
            </w:pPr>
            <w:r w:rsidRPr="003D7036">
              <w:rPr>
                <w:color w:val="262626"/>
                <w:sz w:val="20"/>
                <w:szCs w:val="20"/>
                <w:lang w:val="en-US"/>
              </w:rPr>
              <w:t>A mid-size Brazilian crypto provider with 500 agents, regulated under LGPD and BCB, who needs daily threat updates because they operate in a high-attack vertical: Growth tier (USD 36,000) + Threat Intelligence Premium (USD 24,000) + first vertical baseline</w:t>
            </w:r>
            <w:r w:rsidRPr="003D7036">
              <w:rPr>
                <w:color w:val="262626"/>
                <w:sz w:val="20"/>
                <w:szCs w:val="20"/>
                <w:lang w:val="en-US"/>
              </w:rPr>
              <w:t xml:space="preserve"> free + Annual Compliance Attestation for LGPD (USD 48,000). Total: USD 108,000 per year. Per-agent cost: USD 216. Compare against the proprietary alternatives at USD 400–600 per agent, and the savings are 50–65 percent.</w:t>
            </w:r>
          </w:p>
        </w:tc>
      </w:tr>
      <w:tr w:rsidR="0099437E" w:rsidRPr="003D7036" w14:paraId="6F167D3F" w14:textId="77777777">
        <w:tblPrEx>
          <w:tblCellMar>
            <w:top w:w="0" w:type="dxa"/>
            <w:bottom w:w="0" w:type="dxa"/>
          </w:tblCellMar>
        </w:tblPrEx>
        <w:tc>
          <w:tcPr>
            <w:tcW w:w="0" w:type="auto"/>
            <w:shd w:val="clear" w:color="auto" w:fill="E2EFDA"/>
            <w:tcMar>
              <w:top w:w="160" w:type="dxa"/>
              <w:left w:w="200" w:type="dxa"/>
              <w:bottom w:w="160" w:type="dxa"/>
              <w:right w:w="200" w:type="dxa"/>
            </w:tcMar>
          </w:tcPr>
          <w:p w14:paraId="445822DF" w14:textId="77777777" w:rsidR="0099437E" w:rsidRPr="003D7036" w:rsidRDefault="00E63A4C">
            <w:pPr>
              <w:spacing w:after="80"/>
              <w:rPr>
                <w:lang w:val="en-US"/>
              </w:rPr>
            </w:pPr>
            <w:r w:rsidRPr="003D7036">
              <w:rPr>
                <w:b/>
                <w:bCs/>
                <w:color w:val="548235"/>
                <w:lang w:val="en-US"/>
              </w:rPr>
              <w:t>Example 2 — Large European port op</w:t>
            </w:r>
            <w:r w:rsidRPr="003D7036">
              <w:rPr>
                <w:b/>
                <w:bCs/>
                <w:color w:val="548235"/>
                <w:lang w:val="en-US"/>
              </w:rPr>
              <w:t>erator</w:t>
            </w:r>
          </w:p>
          <w:p w14:paraId="043E8F92" w14:textId="77777777" w:rsidR="0099437E" w:rsidRPr="003D7036" w:rsidRDefault="00E63A4C">
            <w:pPr>
              <w:rPr>
                <w:lang w:val="en-US"/>
              </w:rPr>
            </w:pPr>
            <w:r w:rsidRPr="003D7036">
              <w:rPr>
                <w:color w:val="262626"/>
                <w:sz w:val="20"/>
                <w:szCs w:val="20"/>
                <w:lang w:val="en-US"/>
              </w:rPr>
              <w:t xml:space="preserve">A European port operator (Rotterdam-scale) with 2,500 agents across multiple terminals, regulated under EU AI Act and ISPS Code, mission-critical SLA: Scale tier (USD 120,000) + Threat Intelligence Premium (USD 24,000) + Vertical Baselines for port </w:t>
            </w:r>
            <w:r w:rsidRPr="003D7036">
              <w:rPr>
                <w:color w:val="262626"/>
                <w:sz w:val="20"/>
                <w:szCs w:val="20"/>
                <w:lang w:val="en-US"/>
              </w:rPr>
              <w:t>logistics free + Vertical Baselines for maritime cybersecurity (USD 12,000) + Annual Compliance Attestation for EU AI Act (USD 48,000) + Audit Defense retainer (USD 24,000). Total: USD 228,000 per year. Per-agent cost: USD 91. Compare against proprietary a</w:t>
            </w:r>
            <w:r w:rsidRPr="003D7036">
              <w:rPr>
                <w:color w:val="262626"/>
                <w:sz w:val="20"/>
                <w:szCs w:val="20"/>
                <w:lang w:val="en-US"/>
              </w:rPr>
              <w:t>lternatives at USD 300–500 per agent, and the savings are 70–80 percent.</w:t>
            </w:r>
          </w:p>
        </w:tc>
      </w:tr>
      <w:tr w:rsidR="0099437E" w:rsidRPr="003D7036" w14:paraId="3974F545" w14:textId="77777777">
        <w:tblPrEx>
          <w:tblCellMar>
            <w:top w:w="0" w:type="dxa"/>
            <w:bottom w:w="0" w:type="dxa"/>
          </w:tblCellMar>
        </w:tblPrEx>
        <w:tc>
          <w:tcPr>
            <w:tcW w:w="0" w:type="auto"/>
            <w:shd w:val="clear" w:color="auto" w:fill="E2EFDA"/>
            <w:tcMar>
              <w:top w:w="160" w:type="dxa"/>
              <w:left w:w="200" w:type="dxa"/>
              <w:bottom w:w="160" w:type="dxa"/>
              <w:right w:w="200" w:type="dxa"/>
            </w:tcMar>
          </w:tcPr>
          <w:p w14:paraId="4CCFD658" w14:textId="77777777" w:rsidR="0099437E" w:rsidRPr="003D7036" w:rsidRDefault="00E63A4C">
            <w:pPr>
              <w:spacing w:after="80"/>
              <w:rPr>
                <w:lang w:val="en-US"/>
              </w:rPr>
            </w:pPr>
            <w:r w:rsidRPr="003D7036">
              <w:rPr>
                <w:b/>
                <w:bCs/>
                <w:color w:val="548235"/>
                <w:lang w:val="en-US"/>
              </w:rPr>
              <w:lastRenderedPageBreak/>
              <w:t>Example 3 — Open-source-first European fintech</w:t>
            </w:r>
          </w:p>
          <w:p w14:paraId="5C5EBC91" w14:textId="77777777" w:rsidR="0099437E" w:rsidRPr="003D7036" w:rsidRDefault="00E63A4C">
            <w:pPr>
              <w:rPr>
                <w:lang w:val="en-US"/>
              </w:rPr>
            </w:pPr>
            <w:r w:rsidRPr="003D7036">
              <w:rPr>
                <w:color w:val="262626"/>
                <w:sz w:val="20"/>
                <w:szCs w:val="20"/>
                <w:lang w:val="en-US"/>
              </w:rPr>
              <w:t>A European neobank with 200 agents who started with the Community edition for evaluation and a non-regulated internal use case, then expanded to regulated customer-facing operations: free Community for first 6 months, then upgrade to Growth tier (USD 36,00</w:t>
            </w:r>
            <w:r w:rsidRPr="003D7036">
              <w:rPr>
                <w:color w:val="262626"/>
                <w:sz w:val="20"/>
                <w:szCs w:val="20"/>
                <w:lang w:val="en-US"/>
              </w:rPr>
              <w:t>0) + first vertical baseline free + Annual Compliance Attestation for GDPR (USD 48,000). Total: USD 84,000 per year. Per-agent cost: USD 420 — but only because of the small deployment; if they grow to 1,000 agents at the same Growth tier, the per-agent cos</w:t>
            </w:r>
            <w:r w:rsidRPr="003D7036">
              <w:rPr>
                <w:color w:val="262626"/>
                <w:sz w:val="20"/>
                <w:szCs w:val="20"/>
                <w:lang w:val="en-US"/>
              </w:rPr>
              <w:t>t drops to USD 84.</w:t>
            </w:r>
          </w:p>
        </w:tc>
      </w:tr>
    </w:tbl>
    <w:p w14:paraId="56F235CD" w14:textId="77777777" w:rsidR="0099437E" w:rsidRPr="003D7036" w:rsidRDefault="00E63A4C">
      <w:pPr>
        <w:pStyle w:val="Ttulo2"/>
        <w:rPr>
          <w:lang w:val="en-US"/>
        </w:rPr>
      </w:pPr>
      <w:r w:rsidRPr="003D7036">
        <w:rPr>
          <w:lang w:val="en-US"/>
        </w:rPr>
        <w:t>5.4. Why this pricing seduces the open-source community and positions against competitors</w:t>
      </w:r>
    </w:p>
    <w:p w14:paraId="2506DC3B" w14:textId="77777777" w:rsidR="0099437E" w:rsidRPr="003D7036" w:rsidRDefault="00E63A4C">
      <w:pPr>
        <w:spacing w:after="140" w:line="300" w:lineRule="auto"/>
        <w:jc w:val="both"/>
        <w:rPr>
          <w:lang w:val="en-US"/>
        </w:rPr>
      </w:pPr>
      <w:r w:rsidRPr="003D7036">
        <w:rPr>
          <w:color w:val="262626"/>
          <w:lang w:val="en-US"/>
        </w:rPr>
        <w:t>Three properties of this pricing model are deliberate strategic choices.</w:t>
      </w:r>
    </w:p>
    <w:p w14:paraId="133B8659" w14:textId="77777777" w:rsidR="0099437E" w:rsidRPr="003D7036" w:rsidRDefault="00E63A4C">
      <w:pPr>
        <w:pStyle w:val="Prrafodelista"/>
        <w:numPr>
          <w:ilvl w:val="0"/>
          <w:numId w:val="1"/>
        </w:numPr>
        <w:spacing w:after="80"/>
        <w:rPr>
          <w:lang w:val="en-US"/>
        </w:rPr>
      </w:pPr>
      <w:r w:rsidRPr="003D7036">
        <w:rPr>
          <w:color w:val="262626"/>
          <w:lang w:val="en-US"/>
        </w:rPr>
        <w:t>First, the Community edition is genuinely free and genuinely production-g</w:t>
      </w:r>
      <w:r w:rsidRPr="003D7036">
        <w:rPr>
          <w:color w:val="262626"/>
          <w:lang w:val="en-US"/>
        </w:rPr>
        <w:t xml:space="preserve">rade. There is no usage limit, no time bomb, no nag screen. A research team at a European university or a non-profit auditing organization in the United States can run ARHIAX in production indefinitely without paying anything. This is the precondition for </w:t>
      </w:r>
      <w:r w:rsidRPr="003D7036">
        <w:rPr>
          <w:color w:val="262626"/>
          <w:lang w:val="en-US"/>
        </w:rPr>
        <w:t>academic adoption and for the paper publication strategy. It is also the precondition for community trust: a community edition that is intentionally crippled is correctly seen as a marketing trick and never gains real traction.</w:t>
      </w:r>
    </w:p>
    <w:p w14:paraId="6D9DBFAC" w14:textId="77777777" w:rsidR="0099437E" w:rsidRPr="003D7036" w:rsidRDefault="00E63A4C">
      <w:pPr>
        <w:pStyle w:val="Prrafodelista"/>
        <w:numPr>
          <w:ilvl w:val="0"/>
          <w:numId w:val="1"/>
        </w:numPr>
        <w:spacing w:after="80"/>
        <w:rPr>
          <w:lang w:val="en-US"/>
        </w:rPr>
      </w:pPr>
      <w:r w:rsidRPr="003D7036">
        <w:rPr>
          <w:color w:val="262626"/>
          <w:lang w:val="en-US"/>
        </w:rPr>
        <w:t>Second, the per-agent cost d</w:t>
      </w:r>
      <w:r w:rsidRPr="003D7036">
        <w:rPr>
          <w:color w:val="262626"/>
          <w:lang w:val="en-US"/>
        </w:rPr>
        <w:t>ecreases as the customer scales. This is the opposite of the competition. Customers who become large pay less per unit, not more. The economic message to a CFO is clear: "ARHIAX rewards you for growing your governed AI footprint; the alternatives punish yo</w:t>
      </w:r>
      <w:r w:rsidRPr="003D7036">
        <w:rPr>
          <w:color w:val="262626"/>
          <w:lang w:val="en-US"/>
        </w:rPr>
        <w:t>u for it." This is the language that converts deployments from "cost center" to "infrastructure investment", and it is the basis for positioning ARHIAX as the framework that brought the agentic AI cost spiral under control in regulated European and North A</w:t>
      </w:r>
      <w:r w:rsidRPr="003D7036">
        <w:rPr>
          <w:color w:val="262626"/>
          <w:lang w:val="en-US"/>
        </w:rPr>
        <w:t>merican markets.</w:t>
      </w:r>
    </w:p>
    <w:p w14:paraId="57CF244A" w14:textId="77777777" w:rsidR="0099437E" w:rsidRPr="003D7036" w:rsidRDefault="00E63A4C">
      <w:pPr>
        <w:pStyle w:val="Prrafodelista"/>
        <w:numPr>
          <w:ilvl w:val="0"/>
          <w:numId w:val="1"/>
        </w:numPr>
        <w:spacing w:after="80"/>
        <w:rPr>
          <w:lang w:val="en-US"/>
        </w:rPr>
      </w:pPr>
      <w:r w:rsidRPr="003D7036">
        <w:rPr>
          <w:color w:val="262626"/>
          <w:lang w:val="en-US"/>
        </w:rPr>
        <w:t>Third, the add-on dimensions are unbundled and predictable. A customer in fintech who needs daily threat updates pays for that one specific thing, not for a bundle that includes 15 features they will not use. A customer in port logistics w</w:t>
      </w:r>
      <w:r w:rsidRPr="003D7036">
        <w:rPr>
          <w:color w:val="262626"/>
          <w:lang w:val="en-US"/>
        </w:rPr>
        <w:t>ho needs vertical baselines for one vertical does not pay for the other six. Procurement teams in regulated environments prefer this structure because it produces clean line items in budgets and makes year-over-year cost forecasting simple.</w:t>
      </w:r>
    </w:p>
    <w:p w14:paraId="40B01FFF" w14:textId="77777777" w:rsidR="0099437E" w:rsidRPr="003D7036" w:rsidRDefault="00E63A4C">
      <w:pPr>
        <w:rPr>
          <w:lang w:val="en-US"/>
        </w:rPr>
      </w:pPr>
      <w:r w:rsidRPr="003D7036">
        <w:rPr>
          <w:lang w:val="en-US"/>
        </w:rPr>
        <w:br w:type="page"/>
      </w:r>
    </w:p>
    <w:p w14:paraId="3FC84FCE" w14:textId="77777777" w:rsidR="0099437E" w:rsidRPr="003D7036" w:rsidRDefault="00E63A4C">
      <w:pPr>
        <w:pStyle w:val="Ttulo1"/>
        <w:rPr>
          <w:lang w:val="en-US"/>
        </w:rPr>
      </w:pPr>
      <w:r w:rsidRPr="003D7036">
        <w:rPr>
          <w:lang w:val="en-US"/>
        </w:rPr>
        <w:lastRenderedPageBreak/>
        <w:t>6. Transition</w:t>
      </w:r>
      <w:r w:rsidRPr="003D7036">
        <w:rPr>
          <w:lang w:val="en-US"/>
        </w:rPr>
        <w:t xml:space="preserve"> Roadmap (Proprietary v11.4 → Open-Core v11.4)</w:t>
      </w:r>
    </w:p>
    <w:p w14:paraId="02AA6755" w14:textId="77777777" w:rsidR="0099437E" w:rsidRPr="003D7036" w:rsidRDefault="00E63A4C">
      <w:pPr>
        <w:spacing w:after="140" w:line="300" w:lineRule="auto"/>
        <w:jc w:val="both"/>
        <w:rPr>
          <w:lang w:val="en-US"/>
        </w:rPr>
      </w:pPr>
      <w:r w:rsidRPr="003D7036">
        <w:rPr>
          <w:color w:val="262626"/>
          <w:lang w:val="en-US"/>
        </w:rPr>
        <w:t>The transition from the current proprietary v11.4 release to the open-core release is executed in four phases over approximately twelve weeks. Each phase has explicit gates and rollback options. The roadmap is</w:t>
      </w:r>
      <w:r w:rsidRPr="003D7036">
        <w:rPr>
          <w:color w:val="262626"/>
          <w:lang w:val="en-US"/>
        </w:rPr>
        <w:t xml:space="preserve"> designed so that at no point is the production usage of the current 3 pilots (SPRBUN, Brasil, HFL) at risk.</w:t>
      </w:r>
    </w:p>
    <w:p w14:paraId="5E4AE505" w14:textId="77777777" w:rsidR="0099437E" w:rsidRDefault="00E63A4C">
      <w:pPr>
        <w:pStyle w:val="Ttulo2"/>
      </w:pPr>
      <w:r>
        <w:t>Phase 1 — Internal preparation (Weeks 1–3)</w:t>
      </w:r>
    </w:p>
    <w:p w14:paraId="7A40D30C" w14:textId="77777777" w:rsidR="0099437E" w:rsidRDefault="00E63A4C">
      <w:pPr>
        <w:pStyle w:val="Prrafodelista"/>
        <w:numPr>
          <w:ilvl w:val="0"/>
          <w:numId w:val="1"/>
        </w:numPr>
        <w:spacing w:after="80"/>
      </w:pPr>
      <w:r w:rsidRPr="003D7036">
        <w:rPr>
          <w:color w:val="262626"/>
          <w:lang w:val="en-US"/>
        </w:rPr>
        <w:t xml:space="preserve">Legal review of Apache 2.0 license fit for the community artifacts. </w:t>
      </w:r>
      <w:r>
        <w:rPr>
          <w:color w:val="262626"/>
        </w:rPr>
        <w:t>Drafting of the commercial license f</w:t>
      </w:r>
      <w:r>
        <w:rPr>
          <w:color w:val="262626"/>
        </w:rPr>
        <w:t>or enterprise artifacts.</w:t>
      </w:r>
    </w:p>
    <w:p w14:paraId="23ED6939" w14:textId="77777777" w:rsidR="0099437E" w:rsidRPr="003D7036" w:rsidRDefault="00E63A4C">
      <w:pPr>
        <w:pStyle w:val="Prrafodelista"/>
        <w:numPr>
          <w:ilvl w:val="0"/>
          <w:numId w:val="1"/>
        </w:numPr>
        <w:spacing w:after="80"/>
        <w:rPr>
          <w:lang w:val="en-US"/>
        </w:rPr>
      </w:pPr>
      <w:r w:rsidRPr="003D7036">
        <w:rPr>
          <w:color w:val="262626"/>
          <w:lang w:val="en-US"/>
        </w:rPr>
        <w:t>Code separation: move the 13 community bundles into a public-ready directory structure. Move the 6 enterprise bundles into a private vendor pack with Ed25519 signing infrastructure.</w:t>
      </w:r>
    </w:p>
    <w:p w14:paraId="65EA7EE7" w14:textId="77777777" w:rsidR="0099437E" w:rsidRPr="003D7036" w:rsidRDefault="00E63A4C">
      <w:pPr>
        <w:pStyle w:val="Prrafodelista"/>
        <w:numPr>
          <w:ilvl w:val="0"/>
          <w:numId w:val="1"/>
        </w:numPr>
        <w:spacing w:after="80"/>
        <w:rPr>
          <w:lang w:val="en-US"/>
        </w:rPr>
      </w:pPr>
      <w:r w:rsidRPr="003D7036">
        <w:rPr>
          <w:color w:val="262626"/>
          <w:lang w:val="en-US"/>
        </w:rPr>
        <w:t>Spec separation: prepare the 7 community documents for public release. Confirm that the 3 enterprise documents (Pilot Playbook, Runbooks, Hoja de Ruta) are suitable for proprietary release.</w:t>
      </w:r>
    </w:p>
    <w:p w14:paraId="701363E5" w14:textId="77777777" w:rsidR="0099437E" w:rsidRPr="003D7036" w:rsidRDefault="00E63A4C">
      <w:pPr>
        <w:pStyle w:val="Prrafodelista"/>
        <w:numPr>
          <w:ilvl w:val="0"/>
          <w:numId w:val="1"/>
        </w:numPr>
        <w:spacing w:after="80"/>
        <w:rPr>
          <w:lang w:val="en-US"/>
        </w:rPr>
      </w:pPr>
      <w:r w:rsidRPr="003D7036">
        <w:rPr>
          <w:color w:val="262626"/>
          <w:lang w:val="en-US"/>
        </w:rPr>
        <w:t>Trademark filing for ARHIAX in the relevant jurisdictions (Colombi</w:t>
      </w:r>
      <w:r w:rsidRPr="003D7036">
        <w:rPr>
          <w:color w:val="262626"/>
          <w:lang w:val="en-US"/>
        </w:rPr>
        <w:t>a, Brazil, US, EU, UK).</w:t>
      </w:r>
    </w:p>
    <w:p w14:paraId="32EC2B53" w14:textId="77777777" w:rsidR="0099437E" w:rsidRPr="003D7036" w:rsidRDefault="00E63A4C">
      <w:pPr>
        <w:pStyle w:val="Prrafodelista"/>
        <w:numPr>
          <w:ilvl w:val="0"/>
          <w:numId w:val="1"/>
        </w:numPr>
        <w:spacing w:after="80"/>
        <w:rPr>
          <w:lang w:val="en-US"/>
        </w:rPr>
      </w:pPr>
      <w:r w:rsidRPr="003D7036">
        <w:rPr>
          <w:color w:val="262626"/>
          <w:lang w:val="en-US"/>
        </w:rPr>
        <w:t>Gate G1: Internal review with Sinergia leadership. Approval to proceed to Phase 2.</w:t>
      </w:r>
    </w:p>
    <w:p w14:paraId="2946CE9E" w14:textId="77777777" w:rsidR="0099437E" w:rsidRDefault="00E63A4C">
      <w:pPr>
        <w:pStyle w:val="Ttulo2"/>
      </w:pPr>
      <w:r>
        <w:t>Phase 2 — Infrastructure setup (Weeks 4–6)</w:t>
      </w:r>
    </w:p>
    <w:p w14:paraId="1C715778" w14:textId="77777777" w:rsidR="0099437E" w:rsidRPr="003D7036" w:rsidRDefault="00E63A4C">
      <w:pPr>
        <w:pStyle w:val="Prrafodelista"/>
        <w:numPr>
          <w:ilvl w:val="0"/>
          <w:numId w:val="1"/>
        </w:numPr>
        <w:spacing w:after="80"/>
        <w:rPr>
          <w:lang w:val="en-US"/>
        </w:rPr>
      </w:pPr>
      <w:r w:rsidRPr="003D7036">
        <w:rPr>
          <w:color w:val="262626"/>
          <w:lang w:val="en-US"/>
        </w:rPr>
        <w:t>Provision the public GitHub organization at github.com/arhiax. Configure organization-level settings: bran</w:t>
      </w:r>
      <w:r w:rsidRPr="003D7036">
        <w:rPr>
          <w:color w:val="262626"/>
          <w:lang w:val="en-US"/>
        </w:rPr>
        <w:t>ch protection, code owners, security policies.</w:t>
      </w:r>
    </w:p>
    <w:p w14:paraId="433568CA" w14:textId="77777777" w:rsidR="0099437E" w:rsidRPr="003D7036" w:rsidRDefault="00E63A4C">
      <w:pPr>
        <w:pStyle w:val="Prrafodelista"/>
        <w:numPr>
          <w:ilvl w:val="0"/>
          <w:numId w:val="1"/>
        </w:numPr>
        <w:spacing w:after="80"/>
        <w:rPr>
          <w:lang w:val="en-US"/>
        </w:rPr>
      </w:pPr>
      <w:r w:rsidRPr="003D7036">
        <w:rPr>
          <w:color w:val="262626"/>
          <w:lang w:val="en-US"/>
        </w:rPr>
        <w:t>Provision the api.arhiax.com infrastructure: API gateway, signing service, bundle distribution CDN, customer subscription database, billing integration.</w:t>
      </w:r>
    </w:p>
    <w:p w14:paraId="7301F12F" w14:textId="77777777" w:rsidR="0099437E" w:rsidRPr="003D7036" w:rsidRDefault="00E63A4C">
      <w:pPr>
        <w:pStyle w:val="Prrafodelista"/>
        <w:numPr>
          <w:ilvl w:val="0"/>
          <w:numId w:val="1"/>
        </w:numPr>
        <w:spacing w:after="80"/>
        <w:rPr>
          <w:lang w:val="en-US"/>
        </w:rPr>
      </w:pPr>
      <w:r w:rsidRPr="003D7036">
        <w:rPr>
          <w:color w:val="262626"/>
          <w:lang w:val="en-US"/>
        </w:rPr>
        <w:t>Build the bundle signing pipeline: secure key storage, s</w:t>
      </w:r>
      <w:r w:rsidRPr="003D7036">
        <w:rPr>
          <w:color w:val="262626"/>
          <w:lang w:val="en-US"/>
        </w:rPr>
        <w:t>igning automation, signature manifest publication.</w:t>
      </w:r>
    </w:p>
    <w:p w14:paraId="2C8E962E" w14:textId="77777777" w:rsidR="0099437E" w:rsidRPr="003D7036" w:rsidRDefault="00E63A4C">
      <w:pPr>
        <w:pStyle w:val="Prrafodelista"/>
        <w:numPr>
          <w:ilvl w:val="0"/>
          <w:numId w:val="1"/>
        </w:numPr>
        <w:spacing w:after="80"/>
        <w:rPr>
          <w:lang w:val="en-US"/>
        </w:rPr>
      </w:pPr>
      <w:r w:rsidRPr="003D7036">
        <w:rPr>
          <w:color w:val="262626"/>
          <w:lang w:val="en-US"/>
        </w:rPr>
        <w:t>Build the customer portal at portal.arhiax.com: subscription management, API key issuance, usage dashboard, support ticketing.</w:t>
      </w:r>
    </w:p>
    <w:p w14:paraId="75243128" w14:textId="77777777" w:rsidR="0099437E" w:rsidRDefault="00E63A4C">
      <w:pPr>
        <w:pStyle w:val="Prrafodelista"/>
        <w:numPr>
          <w:ilvl w:val="0"/>
          <w:numId w:val="1"/>
        </w:numPr>
        <w:spacing w:after="80"/>
      </w:pPr>
      <w:r w:rsidRPr="003D7036">
        <w:rPr>
          <w:color w:val="262626"/>
          <w:lang w:val="en-US"/>
        </w:rPr>
        <w:t>Gate G2: Internal load test of api.arhiax.com under simulated subscriber traff</w:t>
      </w:r>
      <w:r w:rsidRPr="003D7036">
        <w:rPr>
          <w:color w:val="262626"/>
          <w:lang w:val="en-US"/>
        </w:rPr>
        <w:t xml:space="preserve">ic. </w:t>
      </w:r>
      <w:r>
        <w:rPr>
          <w:color w:val="262626"/>
        </w:rPr>
        <w:t>Approval to proceed to Phase 3.</w:t>
      </w:r>
    </w:p>
    <w:p w14:paraId="087ED28E" w14:textId="77777777" w:rsidR="0099437E" w:rsidRDefault="00E63A4C">
      <w:pPr>
        <w:pStyle w:val="Ttulo2"/>
      </w:pPr>
      <w:r>
        <w:t>Phase 3 — Soft launch (Weeks 7–9)</w:t>
      </w:r>
    </w:p>
    <w:p w14:paraId="0460515B" w14:textId="77777777" w:rsidR="0099437E" w:rsidRPr="003D7036" w:rsidRDefault="00E63A4C">
      <w:pPr>
        <w:pStyle w:val="Prrafodelista"/>
        <w:numPr>
          <w:ilvl w:val="0"/>
          <w:numId w:val="1"/>
        </w:numPr>
        <w:spacing w:after="80"/>
        <w:rPr>
          <w:lang w:val="en-US"/>
        </w:rPr>
      </w:pPr>
      <w:r w:rsidRPr="003D7036">
        <w:rPr>
          <w:color w:val="262626"/>
          <w:lang w:val="en-US"/>
        </w:rPr>
        <w:t>Push the public repo to github.com/arhiax with the 13 community bundles, the runtime code, the 7 community documents, the Helm chart, and all supporting community files.</w:t>
      </w:r>
    </w:p>
    <w:p w14:paraId="7E1DB345" w14:textId="77777777" w:rsidR="0099437E" w:rsidRDefault="00E63A4C">
      <w:pPr>
        <w:pStyle w:val="Prrafodelista"/>
        <w:numPr>
          <w:ilvl w:val="0"/>
          <w:numId w:val="1"/>
        </w:numPr>
        <w:spacing w:after="80"/>
      </w:pPr>
      <w:r w:rsidRPr="003D7036">
        <w:rPr>
          <w:color w:val="262626"/>
          <w:lang w:val="en-US"/>
        </w:rPr>
        <w:t>Migrate the 3 ac</w:t>
      </w:r>
      <w:r w:rsidRPr="003D7036">
        <w:rPr>
          <w:color w:val="262626"/>
          <w:lang w:val="en-US"/>
        </w:rPr>
        <w:t xml:space="preserve">tive pilots (SPRBUN, Brasil, HFL) to the open-core architecture: they continue to use the same 19 bundles, but now via the bundle pack distribution mechanism instead of the previous monolithic chart. </w:t>
      </w:r>
      <w:r>
        <w:rPr>
          <w:color w:val="262626"/>
        </w:rPr>
        <w:t>Confirm zero functional regression.</w:t>
      </w:r>
    </w:p>
    <w:p w14:paraId="54736C81" w14:textId="77777777" w:rsidR="0099437E" w:rsidRDefault="00E63A4C">
      <w:pPr>
        <w:pStyle w:val="Prrafodelista"/>
        <w:numPr>
          <w:ilvl w:val="0"/>
          <w:numId w:val="1"/>
        </w:numPr>
        <w:spacing w:after="80"/>
      </w:pPr>
      <w:r w:rsidRPr="003D7036">
        <w:rPr>
          <w:color w:val="262626"/>
          <w:lang w:val="en-US"/>
        </w:rPr>
        <w:t>Invite a small set o</w:t>
      </w:r>
      <w:r w:rsidRPr="003D7036">
        <w:rPr>
          <w:color w:val="262626"/>
          <w:lang w:val="en-US"/>
        </w:rPr>
        <w:t xml:space="preserve">f friendly external users to test the Community edition: 2-3 universities, 2-3 non-regulated startups, 1-2 audit firms. </w:t>
      </w:r>
      <w:r>
        <w:rPr>
          <w:color w:val="262626"/>
        </w:rPr>
        <w:t>Collect feedback for 2 weeks.</w:t>
      </w:r>
    </w:p>
    <w:p w14:paraId="6B16763D" w14:textId="77777777" w:rsidR="0099437E" w:rsidRDefault="00E63A4C">
      <w:pPr>
        <w:pStyle w:val="Prrafodelista"/>
        <w:numPr>
          <w:ilvl w:val="0"/>
          <w:numId w:val="1"/>
        </w:numPr>
        <w:spacing w:after="80"/>
      </w:pPr>
      <w:r w:rsidRPr="003D7036">
        <w:rPr>
          <w:color w:val="262626"/>
          <w:lang w:val="en-US"/>
        </w:rPr>
        <w:t xml:space="preserve">Gate G3: Friendly-user feedback positive, no critical bugs, 3 active pilots green. </w:t>
      </w:r>
      <w:r>
        <w:rPr>
          <w:color w:val="262626"/>
        </w:rPr>
        <w:t xml:space="preserve">Approval to proceed to </w:t>
      </w:r>
      <w:r>
        <w:rPr>
          <w:color w:val="262626"/>
        </w:rPr>
        <w:t>Phase 4.</w:t>
      </w:r>
    </w:p>
    <w:p w14:paraId="57C2F925" w14:textId="77777777" w:rsidR="0099437E" w:rsidRDefault="00E63A4C">
      <w:pPr>
        <w:pStyle w:val="Ttulo2"/>
      </w:pPr>
      <w:r>
        <w:t>Phase 4 — Public launch (Weeks 10–12)</w:t>
      </w:r>
    </w:p>
    <w:p w14:paraId="6DDCEB5D" w14:textId="77777777" w:rsidR="0099437E" w:rsidRPr="003D7036" w:rsidRDefault="00E63A4C">
      <w:pPr>
        <w:pStyle w:val="Prrafodelista"/>
        <w:numPr>
          <w:ilvl w:val="0"/>
          <w:numId w:val="1"/>
        </w:numPr>
        <w:spacing w:after="80"/>
        <w:rPr>
          <w:lang w:val="en-US"/>
        </w:rPr>
      </w:pPr>
      <w:r w:rsidRPr="003D7036">
        <w:rPr>
          <w:color w:val="262626"/>
          <w:lang w:val="en-US"/>
        </w:rPr>
        <w:lastRenderedPageBreak/>
        <w:t>Public announcement: blog post, LinkedIn, Hacker News submission, Show HN, /r/MachineLearning, Brazilian and European tech press.</w:t>
      </w:r>
    </w:p>
    <w:p w14:paraId="4F3E3057" w14:textId="77777777" w:rsidR="0099437E" w:rsidRPr="003D7036" w:rsidRDefault="00E63A4C">
      <w:pPr>
        <w:pStyle w:val="Prrafodelista"/>
        <w:numPr>
          <w:ilvl w:val="0"/>
          <w:numId w:val="1"/>
        </w:numPr>
        <w:spacing w:after="80"/>
        <w:rPr>
          <w:lang w:val="en-US"/>
        </w:rPr>
      </w:pPr>
      <w:r w:rsidRPr="003D7036">
        <w:rPr>
          <w:color w:val="262626"/>
          <w:lang w:val="en-US"/>
        </w:rPr>
        <w:t>Academic outreach: submit the technical report companion to Paper A on arXiv referencing the open-source repository.</w:t>
      </w:r>
    </w:p>
    <w:p w14:paraId="1FD166A1" w14:textId="77777777" w:rsidR="0099437E" w:rsidRPr="003D7036" w:rsidRDefault="00E63A4C">
      <w:pPr>
        <w:pStyle w:val="Prrafodelista"/>
        <w:numPr>
          <w:ilvl w:val="0"/>
          <w:numId w:val="1"/>
        </w:numPr>
        <w:spacing w:after="80"/>
        <w:rPr>
          <w:lang w:val="en-US"/>
        </w:rPr>
      </w:pPr>
      <w:r w:rsidRPr="003D7036">
        <w:rPr>
          <w:color w:val="262626"/>
          <w:lang w:val="en-US"/>
        </w:rPr>
        <w:t>Partner o</w:t>
      </w:r>
      <w:r w:rsidRPr="003D7036">
        <w:rPr>
          <w:color w:val="262626"/>
          <w:lang w:val="en-US"/>
        </w:rPr>
        <w:t>utreach: notify Bolder (Brazil), AbilityNet (UK), and other existing allies about the open-core release and invite them to be first listed integration partners.</w:t>
      </w:r>
    </w:p>
    <w:p w14:paraId="3F5AECFB" w14:textId="77777777" w:rsidR="0099437E" w:rsidRPr="003D7036" w:rsidRDefault="00E63A4C">
      <w:pPr>
        <w:pStyle w:val="Prrafodelista"/>
        <w:numPr>
          <w:ilvl w:val="0"/>
          <w:numId w:val="1"/>
        </w:numPr>
        <w:spacing w:after="80"/>
        <w:rPr>
          <w:lang w:val="en-US"/>
        </w:rPr>
      </w:pPr>
      <w:r w:rsidRPr="003D7036">
        <w:rPr>
          <w:color w:val="262626"/>
          <w:lang w:val="en-US"/>
        </w:rPr>
        <w:t>Open the enterprise sales pipeline: api.arhiax.com goes live, customer portal accepts new subsc</w:t>
      </w:r>
      <w:r w:rsidRPr="003D7036">
        <w:rPr>
          <w:color w:val="262626"/>
          <w:lang w:val="en-US"/>
        </w:rPr>
        <w:t>riptions, first three commercial customers onboarded with white-glove support.</w:t>
      </w:r>
    </w:p>
    <w:p w14:paraId="1E421F65" w14:textId="77777777" w:rsidR="0099437E" w:rsidRPr="003D7036" w:rsidRDefault="00E63A4C">
      <w:pPr>
        <w:pStyle w:val="Prrafodelista"/>
        <w:numPr>
          <w:ilvl w:val="0"/>
          <w:numId w:val="1"/>
        </w:numPr>
        <w:spacing w:after="80"/>
        <w:rPr>
          <w:lang w:val="en-US"/>
        </w:rPr>
      </w:pPr>
      <w:r w:rsidRPr="003D7036">
        <w:rPr>
          <w:color w:val="262626"/>
          <w:lang w:val="en-US"/>
        </w:rPr>
        <w:t>Gate G4: First 30 days post-launch metrics positive. Programme transitions to steady-state operation.</w:t>
      </w:r>
    </w:p>
    <w:p w14:paraId="69BB20BC" w14:textId="77777777" w:rsidR="0099437E" w:rsidRPr="003D7036" w:rsidRDefault="00E63A4C">
      <w:pPr>
        <w:rPr>
          <w:lang w:val="en-US"/>
        </w:rPr>
      </w:pPr>
      <w:r w:rsidRPr="003D7036">
        <w:rPr>
          <w:lang w:val="en-US"/>
        </w:rPr>
        <w:br w:type="page"/>
      </w:r>
    </w:p>
    <w:p w14:paraId="4AE3AB3B" w14:textId="77777777" w:rsidR="0099437E" w:rsidRPr="003D7036" w:rsidRDefault="00E63A4C">
      <w:pPr>
        <w:pStyle w:val="Ttulo1"/>
        <w:rPr>
          <w:lang w:val="en-US"/>
        </w:rPr>
      </w:pPr>
      <w:r w:rsidRPr="003D7036">
        <w:rPr>
          <w:lang w:val="en-US"/>
        </w:rPr>
        <w:lastRenderedPageBreak/>
        <w:t>7. Success Metrics (12-month horizon)</w:t>
      </w:r>
    </w:p>
    <w:p w14:paraId="1B2CD598" w14:textId="77777777" w:rsidR="0099437E" w:rsidRPr="003D7036" w:rsidRDefault="00E63A4C">
      <w:pPr>
        <w:spacing w:after="140" w:line="300" w:lineRule="auto"/>
        <w:jc w:val="both"/>
        <w:rPr>
          <w:lang w:val="en-US"/>
        </w:rPr>
      </w:pPr>
      <w:r w:rsidRPr="003D7036">
        <w:rPr>
          <w:color w:val="262626"/>
          <w:lang w:val="en-US"/>
        </w:rPr>
        <w:t>The success of the open-core progra</w:t>
      </w:r>
      <w:r w:rsidRPr="003D7036">
        <w:rPr>
          <w:color w:val="262626"/>
          <w:lang w:val="en-US"/>
        </w:rPr>
        <w:t>mme is measured against six metrics tracked monthly from public launch.</w:t>
      </w:r>
    </w:p>
    <w:p w14:paraId="220AF5EC" w14:textId="77777777" w:rsidR="0099437E" w:rsidRDefault="00E63A4C">
      <w:pPr>
        <w:pStyle w:val="Prrafodelista"/>
        <w:numPr>
          <w:ilvl w:val="0"/>
          <w:numId w:val="1"/>
        </w:numPr>
        <w:spacing w:after="80"/>
      </w:pPr>
      <w:r w:rsidRPr="003D7036">
        <w:rPr>
          <w:color w:val="262626"/>
          <w:lang w:val="en-US"/>
        </w:rPr>
        <w:t xml:space="preserve">Community adoption: GitHub stars, forks, unique cloners, number of active deployments reporting to the optional anonymous telemetry endpoint. </w:t>
      </w:r>
      <w:r>
        <w:rPr>
          <w:color w:val="262626"/>
        </w:rPr>
        <w:t>Target at month 12: 2,500 stars, 400 forks</w:t>
      </w:r>
      <w:r>
        <w:rPr>
          <w:color w:val="262626"/>
        </w:rPr>
        <w:t>, 150 active deployments.</w:t>
      </w:r>
    </w:p>
    <w:p w14:paraId="19892013" w14:textId="77777777" w:rsidR="0099437E" w:rsidRDefault="00E63A4C">
      <w:pPr>
        <w:pStyle w:val="Prrafodelista"/>
        <w:numPr>
          <w:ilvl w:val="0"/>
          <w:numId w:val="1"/>
        </w:numPr>
        <w:spacing w:after="80"/>
      </w:pPr>
      <w:r w:rsidRPr="003D7036">
        <w:rPr>
          <w:color w:val="262626"/>
          <w:lang w:val="en-US"/>
        </w:rPr>
        <w:t xml:space="preserve">Community contribution: external pull requests merged, external issues opened and closed, external crosswalks contributed. </w:t>
      </w:r>
      <w:r>
        <w:rPr>
          <w:color w:val="262626"/>
        </w:rPr>
        <w:t>Target at month 12: 50 merged external PRs, 200 issues, 5 external crosswalks.</w:t>
      </w:r>
    </w:p>
    <w:p w14:paraId="3CA03B5D" w14:textId="77777777" w:rsidR="0099437E" w:rsidRDefault="00E63A4C">
      <w:pPr>
        <w:pStyle w:val="Prrafodelista"/>
        <w:numPr>
          <w:ilvl w:val="0"/>
          <w:numId w:val="1"/>
        </w:numPr>
        <w:spacing w:after="80"/>
      </w:pPr>
      <w:r w:rsidRPr="003D7036">
        <w:rPr>
          <w:color w:val="262626"/>
          <w:lang w:val="en-US"/>
        </w:rPr>
        <w:t>Academic uptake: papers citi</w:t>
      </w:r>
      <w:r w:rsidRPr="003D7036">
        <w:rPr>
          <w:color w:val="262626"/>
          <w:lang w:val="en-US"/>
        </w:rPr>
        <w:t xml:space="preserve">ng ARHIAX, university courses adopting ARHIAX as teaching material, conference talks referencing ARHIAX. </w:t>
      </w:r>
      <w:r>
        <w:rPr>
          <w:color w:val="262626"/>
        </w:rPr>
        <w:t>Target at month 12: 10 academic citations, 3 university adoptions, 5 conference talks.</w:t>
      </w:r>
    </w:p>
    <w:p w14:paraId="6A123D0B" w14:textId="77777777" w:rsidR="0099437E" w:rsidRPr="003D7036" w:rsidRDefault="00E63A4C">
      <w:pPr>
        <w:pStyle w:val="Prrafodelista"/>
        <w:numPr>
          <w:ilvl w:val="0"/>
          <w:numId w:val="1"/>
        </w:numPr>
        <w:spacing w:after="80"/>
        <w:rPr>
          <w:lang w:val="en-US"/>
        </w:rPr>
      </w:pPr>
      <w:r w:rsidRPr="003D7036">
        <w:rPr>
          <w:color w:val="262626"/>
          <w:lang w:val="en-US"/>
        </w:rPr>
        <w:t>Enterprise pipeline: enterprise inbound leads, conversion rate f</w:t>
      </w:r>
      <w:r w:rsidRPr="003D7036">
        <w:rPr>
          <w:color w:val="262626"/>
          <w:lang w:val="en-US"/>
        </w:rPr>
        <w:t>rom Community to Enterprise, average deal size, annual recurring revenue. Target at month 12: 100 enterprise leads, 8% conversion, average deal size USD 95,000, ARR USD 760,000.</w:t>
      </w:r>
    </w:p>
    <w:p w14:paraId="58BCBC2A" w14:textId="77777777" w:rsidR="0099437E" w:rsidRDefault="00E63A4C">
      <w:pPr>
        <w:pStyle w:val="Prrafodelista"/>
        <w:numPr>
          <w:ilvl w:val="0"/>
          <w:numId w:val="1"/>
        </w:numPr>
        <w:spacing w:after="80"/>
      </w:pPr>
      <w:r w:rsidRPr="003D7036">
        <w:rPr>
          <w:color w:val="262626"/>
          <w:lang w:val="en-US"/>
        </w:rPr>
        <w:t xml:space="preserve">Regulatory recognition: regulatory body publications referencing ARHIAX, regulatory consultations Sinergia is invited to, published audits using ARHIAX as the operational reference. </w:t>
      </w:r>
      <w:r>
        <w:rPr>
          <w:color w:val="262626"/>
        </w:rPr>
        <w:t xml:space="preserve">Target at month 12: 2 regulatory references, 5 consultations, 3 published </w:t>
      </w:r>
      <w:r>
        <w:rPr>
          <w:color w:val="262626"/>
        </w:rPr>
        <w:t>audits.</w:t>
      </w:r>
    </w:p>
    <w:p w14:paraId="5B8B8A0C" w14:textId="77777777" w:rsidR="0099437E" w:rsidRPr="003D7036" w:rsidRDefault="00E63A4C">
      <w:pPr>
        <w:pStyle w:val="Prrafodelista"/>
        <w:numPr>
          <w:ilvl w:val="0"/>
          <w:numId w:val="1"/>
        </w:numPr>
        <w:spacing w:after="80"/>
        <w:rPr>
          <w:lang w:val="en-US"/>
        </w:rPr>
      </w:pPr>
      <w:r w:rsidRPr="003D7036">
        <w:rPr>
          <w:color w:val="262626"/>
          <w:lang w:val="en-US"/>
        </w:rPr>
        <w:t>Operational health of api.arhiax.com: uptime SLA, response time p99, signature update freshness, customer support resolution time. Target: 99.9% uptime, p99 under 200ms, signature staleness under 24 hours, support resolution median under 4 hours.</w:t>
      </w:r>
    </w:p>
    <w:p w14:paraId="133BD2B1" w14:textId="77777777" w:rsidR="0099437E" w:rsidRPr="003D7036" w:rsidRDefault="00E63A4C">
      <w:pPr>
        <w:rPr>
          <w:lang w:val="en-US"/>
        </w:rPr>
      </w:pPr>
      <w:r w:rsidRPr="003D7036">
        <w:rPr>
          <w:lang w:val="en-US"/>
        </w:rPr>
        <w:br w:type="page"/>
      </w:r>
    </w:p>
    <w:p w14:paraId="790E8C17" w14:textId="77777777" w:rsidR="0099437E" w:rsidRDefault="00E63A4C">
      <w:pPr>
        <w:pStyle w:val="Ttulo1"/>
      </w:pPr>
      <w:r>
        <w:lastRenderedPageBreak/>
        <w:t>8. Risk Analysis and Mitigations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3"/>
        <w:gridCol w:w="1847"/>
        <w:gridCol w:w="4100"/>
      </w:tblGrid>
      <w:tr w:rsidR="0099437E" w14:paraId="1E96C104" w14:textId="77777777">
        <w:tblPrEx>
          <w:tblCellMar>
            <w:top w:w="0" w:type="dxa"/>
            <w:bottom w:w="0" w:type="dxa"/>
          </w:tblCellMar>
        </w:tblPrEx>
        <w:trPr>
          <w:tblHeader/>
        </w:trPr>
        <w:tc>
          <w:tcPr>
            <w:tcW w:w="3800" w:type="dxa"/>
            <w:shd w:val="clear" w:color="auto" w:fill="1F3864"/>
            <w:tcMar>
              <w:top w:w="100" w:type="dxa"/>
              <w:left w:w="120" w:type="dxa"/>
              <w:bottom w:w="100" w:type="dxa"/>
              <w:right w:w="120" w:type="dxa"/>
            </w:tcMar>
          </w:tcPr>
          <w:p w14:paraId="3E214C9C" w14:textId="77777777" w:rsidR="0099437E" w:rsidRDefault="00E63A4C">
            <w:pPr>
              <w:spacing w:after="40"/>
            </w:pPr>
            <w:r>
              <w:rPr>
                <w:b/>
                <w:bCs/>
                <w:color w:val="FFFFFF"/>
                <w:sz w:val="20"/>
                <w:szCs w:val="20"/>
              </w:rPr>
              <w:t>Risk</w:t>
            </w:r>
          </w:p>
        </w:tc>
        <w:tc>
          <w:tcPr>
            <w:tcW w:w="1400" w:type="dxa"/>
            <w:shd w:val="clear" w:color="auto" w:fill="1F3864"/>
            <w:tcMar>
              <w:top w:w="100" w:type="dxa"/>
              <w:left w:w="120" w:type="dxa"/>
              <w:bottom w:w="100" w:type="dxa"/>
              <w:right w:w="120" w:type="dxa"/>
            </w:tcMar>
          </w:tcPr>
          <w:p w14:paraId="1E84D910" w14:textId="77777777" w:rsidR="0099437E" w:rsidRDefault="00E63A4C">
            <w:pPr>
              <w:spacing w:after="40"/>
            </w:pPr>
            <w:r>
              <w:rPr>
                <w:b/>
                <w:bCs/>
                <w:color w:val="FFFFFF"/>
                <w:sz w:val="20"/>
                <w:szCs w:val="20"/>
              </w:rPr>
              <w:t>Likelihood</w:t>
            </w:r>
          </w:p>
        </w:tc>
        <w:tc>
          <w:tcPr>
            <w:tcW w:w="4600" w:type="dxa"/>
            <w:shd w:val="clear" w:color="auto" w:fill="1F3864"/>
            <w:tcMar>
              <w:top w:w="100" w:type="dxa"/>
              <w:left w:w="120" w:type="dxa"/>
              <w:bottom w:w="100" w:type="dxa"/>
              <w:right w:w="120" w:type="dxa"/>
            </w:tcMar>
          </w:tcPr>
          <w:p w14:paraId="6987ECDD" w14:textId="77777777" w:rsidR="0099437E" w:rsidRDefault="00E63A4C">
            <w:pPr>
              <w:spacing w:after="40"/>
            </w:pPr>
            <w:r>
              <w:rPr>
                <w:b/>
                <w:bCs/>
                <w:color w:val="FFFFFF"/>
                <w:sz w:val="20"/>
                <w:szCs w:val="20"/>
              </w:rPr>
              <w:t>Mitigation</w:t>
            </w:r>
          </w:p>
        </w:tc>
      </w:tr>
      <w:tr w:rsidR="0099437E" w:rsidRPr="003D7036" w14:paraId="43E6F04A" w14:textId="77777777">
        <w:tblPrEx>
          <w:tblCellMar>
            <w:top w:w="0" w:type="dxa"/>
            <w:bottom w:w="0" w:type="dxa"/>
          </w:tblCellMar>
        </w:tblPrEx>
        <w:tc>
          <w:tcPr>
            <w:tcW w:w="2000" w:type="dxa"/>
            <w:tcMar>
              <w:top w:w="100" w:type="dxa"/>
              <w:left w:w="120" w:type="dxa"/>
              <w:bottom w:w="100" w:type="dxa"/>
              <w:right w:w="120" w:type="dxa"/>
            </w:tcMar>
          </w:tcPr>
          <w:p w14:paraId="18776B0E" w14:textId="77777777" w:rsidR="0099437E" w:rsidRPr="003D7036" w:rsidRDefault="00E63A4C">
            <w:pPr>
              <w:spacing w:after="40"/>
              <w:rPr>
                <w:lang w:val="en-US"/>
              </w:rPr>
            </w:pPr>
            <w:r w:rsidRPr="003D7036">
              <w:rPr>
                <w:color w:val="262626"/>
                <w:sz w:val="20"/>
                <w:szCs w:val="20"/>
                <w:lang w:val="en-US"/>
              </w:rPr>
              <w:t>Competitor forks the Community edition and offers commercial support undercutting Sinergia.</w:t>
            </w:r>
          </w:p>
        </w:tc>
        <w:tc>
          <w:tcPr>
            <w:tcW w:w="2000" w:type="dxa"/>
            <w:tcMar>
              <w:top w:w="100" w:type="dxa"/>
              <w:left w:w="120" w:type="dxa"/>
              <w:bottom w:w="100" w:type="dxa"/>
              <w:right w:w="120" w:type="dxa"/>
            </w:tcMar>
          </w:tcPr>
          <w:p w14:paraId="3852BF32" w14:textId="77777777" w:rsidR="0099437E" w:rsidRDefault="00E63A4C">
            <w:pPr>
              <w:spacing w:after="40"/>
              <w:jc w:val="center"/>
            </w:pPr>
            <w:r>
              <w:rPr>
                <w:color w:val="262626"/>
                <w:sz w:val="20"/>
                <w:szCs w:val="20"/>
              </w:rPr>
              <w:t>Medium</w:t>
            </w:r>
          </w:p>
        </w:tc>
        <w:tc>
          <w:tcPr>
            <w:tcW w:w="2000" w:type="dxa"/>
            <w:tcMar>
              <w:top w:w="100" w:type="dxa"/>
              <w:left w:w="120" w:type="dxa"/>
              <w:bottom w:w="100" w:type="dxa"/>
              <w:right w:w="120" w:type="dxa"/>
            </w:tcMar>
          </w:tcPr>
          <w:p w14:paraId="597DA31A" w14:textId="77777777" w:rsidR="0099437E" w:rsidRPr="003D7036" w:rsidRDefault="00E63A4C">
            <w:pPr>
              <w:spacing w:after="40"/>
              <w:rPr>
                <w:lang w:val="en-US"/>
              </w:rPr>
            </w:pPr>
            <w:r w:rsidRPr="003D7036">
              <w:rPr>
                <w:color w:val="262626"/>
                <w:sz w:val="20"/>
                <w:szCs w:val="20"/>
                <w:lang w:val="en-US"/>
              </w:rPr>
              <w:t>Sinergia retains the trademark, the api.arhiax.com domain, the signing keys, and the operationa</w:t>
            </w:r>
            <w:r w:rsidRPr="003D7036">
              <w:rPr>
                <w:color w:val="262626"/>
                <w:sz w:val="20"/>
                <w:szCs w:val="20"/>
                <w:lang w:val="en-US"/>
              </w:rPr>
              <w:t>l service. A fork can be created but cannot legally call itself ARHIAX, cannot connect to api.arhiax.com, and cannot offer the API of intelligence without independently building one.</w:t>
            </w:r>
          </w:p>
        </w:tc>
      </w:tr>
      <w:tr w:rsidR="0099437E" w:rsidRPr="003D7036" w14:paraId="305771C7" w14:textId="77777777">
        <w:tblPrEx>
          <w:tblCellMar>
            <w:top w:w="0" w:type="dxa"/>
            <w:bottom w:w="0" w:type="dxa"/>
          </w:tblCellMar>
        </w:tblPrEx>
        <w:tc>
          <w:tcPr>
            <w:tcW w:w="2000" w:type="dxa"/>
            <w:tcMar>
              <w:top w:w="100" w:type="dxa"/>
              <w:left w:w="120" w:type="dxa"/>
              <w:bottom w:w="100" w:type="dxa"/>
              <w:right w:w="120" w:type="dxa"/>
            </w:tcMar>
          </w:tcPr>
          <w:p w14:paraId="0D9D2A8A" w14:textId="77777777" w:rsidR="0099437E" w:rsidRPr="003D7036" w:rsidRDefault="00E63A4C">
            <w:pPr>
              <w:spacing w:after="40"/>
              <w:rPr>
                <w:lang w:val="en-US"/>
              </w:rPr>
            </w:pPr>
            <w:r w:rsidRPr="003D7036">
              <w:rPr>
                <w:color w:val="262626"/>
                <w:sz w:val="20"/>
                <w:szCs w:val="20"/>
                <w:lang w:val="en-US"/>
              </w:rPr>
              <w:t>Enterprise customers re-implement the 6 enterprise bundles from the spec.</w:t>
            </w:r>
          </w:p>
        </w:tc>
        <w:tc>
          <w:tcPr>
            <w:tcW w:w="2000" w:type="dxa"/>
            <w:tcMar>
              <w:top w:w="100" w:type="dxa"/>
              <w:left w:w="120" w:type="dxa"/>
              <w:bottom w:w="100" w:type="dxa"/>
              <w:right w:w="120" w:type="dxa"/>
            </w:tcMar>
          </w:tcPr>
          <w:p w14:paraId="6175B9EF" w14:textId="77777777" w:rsidR="0099437E" w:rsidRDefault="00E63A4C">
            <w:pPr>
              <w:spacing w:after="40"/>
              <w:jc w:val="center"/>
            </w:pPr>
            <w:r>
              <w:rPr>
                <w:color w:val="262626"/>
                <w:sz w:val="20"/>
                <w:szCs w:val="20"/>
              </w:rPr>
              <w:t>Low</w:t>
            </w:r>
          </w:p>
        </w:tc>
        <w:tc>
          <w:tcPr>
            <w:tcW w:w="2000" w:type="dxa"/>
            <w:tcMar>
              <w:top w:w="100" w:type="dxa"/>
              <w:left w:w="120" w:type="dxa"/>
              <w:bottom w:w="100" w:type="dxa"/>
              <w:right w:w="120" w:type="dxa"/>
            </w:tcMar>
          </w:tcPr>
          <w:p w14:paraId="7C6B02CD" w14:textId="77777777" w:rsidR="0099437E" w:rsidRPr="003D7036" w:rsidRDefault="00E63A4C">
            <w:pPr>
              <w:spacing w:after="40"/>
              <w:rPr>
                <w:lang w:val="en-US"/>
              </w:rPr>
            </w:pPr>
            <w:r w:rsidRPr="003D7036">
              <w:rPr>
                <w:color w:val="262626"/>
                <w:sz w:val="20"/>
                <w:szCs w:val="20"/>
                <w:lang w:val="en-US"/>
              </w:rPr>
              <w:t>Possible in principle but expensive and ongoing. The 6 bundles are not static — they receive regular updates as the threat landscape changes. A customer who reimplements them onc</w:t>
            </w:r>
            <w:r w:rsidRPr="003D7036">
              <w:rPr>
                <w:color w:val="262626"/>
                <w:sz w:val="20"/>
                <w:szCs w:val="20"/>
                <w:lang w:val="en-US"/>
              </w:rPr>
              <w:t>e still needs continuous threat research, which is what the API of intelligence delivers.</w:t>
            </w:r>
          </w:p>
        </w:tc>
      </w:tr>
      <w:tr w:rsidR="0099437E" w:rsidRPr="003D7036" w14:paraId="5EBEC0B6" w14:textId="77777777">
        <w:tblPrEx>
          <w:tblCellMar>
            <w:top w:w="0" w:type="dxa"/>
            <w:bottom w:w="0" w:type="dxa"/>
          </w:tblCellMar>
        </w:tblPrEx>
        <w:tc>
          <w:tcPr>
            <w:tcW w:w="2000" w:type="dxa"/>
            <w:tcMar>
              <w:top w:w="100" w:type="dxa"/>
              <w:left w:w="120" w:type="dxa"/>
              <w:bottom w:w="100" w:type="dxa"/>
              <w:right w:w="120" w:type="dxa"/>
            </w:tcMar>
          </w:tcPr>
          <w:p w14:paraId="25B4AA26" w14:textId="77777777" w:rsidR="0099437E" w:rsidRPr="003D7036" w:rsidRDefault="00E63A4C">
            <w:pPr>
              <w:spacing w:after="40"/>
              <w:rPr>
                <w:lang w:val="en-US"/>
              </w:rPr>
            </w:pPr>
            <w:r w:rsidRPr="003D7036">
              <w:rPr>
                <w:color w:val="262626"/>
                <w:sz w:val="20"/>
                <w:szCs w:val="20"/>
                <w:lang w:val="en-US"/>
              </w:rPr>
              <w:t>api.arhiax.com operational failure disrupts enterprise customer deployments.</w:t>
            </w:r>
          </w:p>
        </w:tc>
        <w:tc>
          <w:tcPr>
            <w:tcW w:w="2000" w:type="dxa"/>
            <w:tcMar>
              <w:top w:w="100" w:type="dxa"/>
              <w:left w:w="120" w:type="dxa"/>
              <w:bottom w:w="100" w:type="dxa"/>
              <w:right w:w="120" w:type="dxa"/>
            </w:tcMar>
          </w:tcPr>
          <w:p w14:paraId="1EF038E4" w14:textId="77777777" w:rsidR="0099437E" w:rsidRDefault="00E63A4C">
            <w:pPr>
              <w:spacing w:after="40"/>
              <w:jc w:val="center"/>
            </w:pPr>
            <w:r>
              <w:rPr>
                <w:color w:val="262626"/>
                <w:sz w:val="20"/>
                <w:szCs w:val="20"/>
              </w:rPr>
              <w:t>Low</w:t>
            </w:r>
          </w:p>
        </w:tc>
        <w:tc>
          <w:tcPr>
            <w:tcW w:w="2000" w:type="dxa"/>
            <w:tcMar>
              <w:top w:w="100" w:type="dxa"/>
              <w:left w:w="120" w:type="dxa"/>
              <w:bottom w:w="100" w:type="dxa"/>
              <w:right w:w="120" w:type="dxa"/>
            </w:tcMar>
          </w:tcPr>
          <w:p w14:paraId="00C34871" w14:textId="77777777" w:rsidR="0099437E" w:rsidRPr="003D7036" w:rsidRDefault="00E63A4C">
            <w:pPr>
              <w:spacing w:after="40"/>
              <w:rPr>
                <w:lang w:val="en-US"/>
              </w:rPr>
            </w:pPr>
            <w:r w:rsidRPr="003D7036">
              <w:rPr>
                <w:color w:val="262626"/>
                <w:sz w:val="20"/>
                <w:szCs w:val="20"/>
                <w:lang w:val="en-US"/>
              </w:rPr>
              <w:t>Graceful degradation design: enterprise bundles continue working from their cached s</w:t>
            </w:r>
            <w:r w:rsidRPr="003D7036">
              <w:rPr>
                <w:color w:val="262626"/>
                <w:sz w:val="20"/>
                <w:szCs w:val="20"/>
                <w:lang w:val="en-US"/>
              </w:rPr>
              <w:t>ignatures until the validity window expires. Sinergia operates the API with multi-region redundancy and 99.9% SLA.</w:t>
            </w:r>
          </w:p>
        </w:tc>
      </w:tr>
      <w:tr w:rsidR="0099437E" w:rsidRPr="003D7036" w14:paraId="7DBB0BD8" w14:textId="77777777">
        <w:tblPrEx>
          <w:tblCellMar>
            <w:top w:w="0" w:type="dxa"/>
            <w:bottom w:w="0" w:type="dxa"/>
          </w:tblCellMar>
        </w:tblPrEx>
        <w:tc>
          <w:tcPr>
            <w:tcW w:w="2000" w:type="dxa"/>
            <w:tcMar>
              <w:top w:w="100" w:type="dxa"/>
              <w:left w:w="120" w:type="dxa"/>
              <w:bottom w:w="100" w:type="dxa"/>
              <w:right w:w="120" w:type="dxa"/>
            </w:tcMar>
          </w:tcPr>
          <w:p w14:paraId="56F3DFA8" w14:textId="77777777" w:rsidR="0099437E" w:rsidRPr="003D7036" w:rsidRDefault="00E63A4C">
            <w:pPr>
              <w:spacing w:after="40"/>
              <w:rPr>
                <w:lang w:val="en-US"/>
              </w:rPr>
            </w:pPr>
            <w:r w:rsidRPr="003D7036">
              <w:rPr>
                <w:color w:val="262626"/>
                <w:sz w:val="20"/>
                <w:szCs w:val="20"/>
                <w:lang w:val="en-US"/>
              </w:rPr>
              <w:t>Apache 2.0 incompatibility with a specific enterprise procurement team.</w:t>
            </w:r>
          </w:p>
        </w:tc>
        <w:tc>
          <w:tcPr>
            <w:tcW w:w="2000" w:type="dxa"/>
            <w:tcMar>
              <w:top w:w="100" w:type="dxa"/>
              <w:left w:w="120" w:type="dxa"/>
              <w:bottom w:w="100" w:type="dxa"/>
              <w:right w:w="120" w:type="dxa"/>
            </w:tcMar>
          </w:tcPr>
          <w:p w14:paraId="64D817A8" w14:textId="77777777" w:rsidR="0099437E" w:rsidRDefault="00E63A4C">
            <w:pPr>
              <w:spacing w:after="40"/>
              <w:jc w:val="center"/>
            </w:pPr>
            <w:r>
              <w:rPr>
                <w:color w:val="262626"/>
                <w:sz w:val="20"/>
                <w:szCs w:val="20"/>
              </w:rPr>
              <w:t>Low</w:t>
            </w:r>
          </w:p>
        </w:tc>
        <w:tc>
          <w:tcPr>
            <w:tcW w:w="2000" w:type="dxa"/>
            <w:tcMar>
              <w:top w:w="100" w:type="dxa"/>
              <w:left w:w="120" w:type="dxa"/>
              <w:bottom w:w="100" w:type="dxa"/>
              <w:right w:w="120" w:type="dxa"/>
            </w:tcMar>
          </w:tcPr>
          <w:p w14:paraId="511069E3" w14:textId="77777777" w:rsidR="0099437E" w:rsidRPr="003D7036" w:rsidRDefault="00E63A4C">
            <w:pPr>
              <w:spacing w:after="40"/>
              <w:rPr>
                <w:lang w:val="en-US"/>
              </w:rPr>
            </w:pPr>
            <w:r w:rsidRPr="003D7036">
              <w:rPr>
                <w:color w:val="262626"/>
                <w:sz w:val="20"/>
                <w:szCs w:val="20"/>
                <w:lang w:val="en-US"/>
              </w:rPr>
              <w:t>Apache 2.0 is one of the most enterprise-friendly licenses in existence. For the rare case of incompatibility, Sinergia offers a parallel commercial license for the Community code at no additional cost, included in any Enterprise subscription.</w:t>
            </w:r>
          </w:p>
        </w:tc>
      </w:tr>
      <w:tr w:rsidR="0099437E" w:rsidRPr="003D7036" w14:paraId="58B64B71" w14:textId="77777777">
        <w:tblPrEx>
          <w:tblCellMar>
            <w:top w:w="0" w:type="dxa"/>
            <w:bottom w:w="0" w:type="dxa"/>
          </w:tblCellMar>
        </w:tblPrEx>
        <w:tc>
          <w:tcPr>
            <w:tcW w:w="2000" w:type="dxa"/>
            <w:tcMar>
              <w:top w:w="100" w:type="dxa"/>
              <w:left w:w="120" w:type="dxa"/>
              <w:bottom w:w="100" w:type="dxa"/>
              <w:right w:w="120" w:type="dxa"/>
            </w:tcMar>
          </w:tcPr>
          <w:p w14:paraId="0BC24A45" w14:textId="77777777" w:rsidR="0099437E" w:rsidRPr="003D7036" w:rsidRDefault="00E63A4C">
            <w:pPr>
              <w:spacing w:after="40"/>
              <w:rPr>
                <w:lang w:val="en-US"/>
              </w:rPr>
            </w:pPr>
            <w:r w:rsidRPr="003D7036">
              <w:rPr>
                <w:color w:val="262626"/>
                <w:sz w:val="20"/>
                <w:szCs w:val="20"/>
                <w:lang w:val="en-US"/>
              </w:rPr>
              <w:t>Community e</w:t>
            </w:r>
            <w:r w:rsidRPr="003D7036">
              <w:rPr>
                <w:color w:val="262626"/>
                <w:sz w:val="20"/>
                <w:szCs w:val="20"/>
                <w:lang w:val="en-US"/>
              </w:rPr>
              <w:t>dition becomes "good enough" and erodes Enterprise conversion.</w:t>
            </w:r>
          </w:p>
        </w:tc>
        <w:tc>
          <w:tcPr>
            <w:tcW w:w="2000" w:type="dxa"/>
            <w:tcMar>
              <w:top w:w="100" w:type="dxa"/>
              <w:left w:w="120" w:type="dxa"/>
              <w:bottom w:w="100" w:type="dxa"/>
              <w:right w:w="120" w:type="dxa"/>
            </w:tcMar>
          </w:tcPr>
          <w:p w14:paraId="37A7E2A7" w14:textId="77777777" w:rsidR="0099437E" w:rsidRDefault="00E63A4C">
            <w:pPr>
              <w:spacing w:after="40"/>
              <w:jc w:val="center"/>
            </w:pPr>
            <w:r>
              <w:rPr>
                <w:color w:val="262626"/>
                <w:sz w:val="20"/>
                <w:szCs w:val="20"/>
              </w:rPr>
              <w:t>Medium</w:t>
            </w:r>
          </w:p>
        </w:tc>
        <w:tc>
          <w:tcPr>
            <w:tcW w:w="2000" w:type="dxa"/>
            <w:tcMar>
              <w:top w:w="100" w:type="dxa"/>
              <w:left w:w="120" w:type="dxa"/>
              <w:bottom w:w="100" w:type="dxa"/>
              <w:right w:w="120" w:type="dxa"/>
            </w:tcMar>
          </w:tcPr>
          <w:p w14:paraId="3EAEF33D" w14:textId="77777777" w:rsidR="0099437E" w:rsidRPr="003D7036" w:rsidRDefault="00E63A4C">
            <w:pPr>
              <w:spacing w:after="40"/>
              <w:rPr>
                <w:lang w:val="en-US"/>
              </w:rPr>
            </w:pPr>
            <w:r w:rsidRPr="003D7036">
              <w:rPr>
                <w:color w:val="262626"/>
                <w:sz w:val="20"/>
                <w:szCs w:val="20"/>
                <w:lang w:val="en-US"/>
              </w:rPr>
              <w:t>The 6 enterprise bundles are precisely the ones that regulated environments require. The Community edition is "good enough" for non-regulated experimentation, which is exactly the audien</w:t>
            </w:r>
            <w:r w:rsidRPr="003D7036">
              <w:rPr>
                <w:color w:val="262626"/>
                <w:sz w:val="20"/>
                <w:szCs w:val="20"/>
                <w:lang w:val="en-US"/>
              </w:rPr>
              <w:t>ce Sinergia wants to attract. Conversion happens when the customer enters a regulated context, which is determined by their business, not by their technical preferences.</w:t>
            </w:r>
          </w:p>
        </w:tc>
      </w:tr>
      <w:tr w:rsidR="0099437E" w:rsidRPr="003D7036" w14:paraId="3CEDFD6F" w14:textId="77777777">
        <w:tblPrEx>
          <w:tblCellMar>
            <w:top w:w="0" w:type="dxa"/>
            <w:bottom w:w="0" w:type="dxa"/>
          </w:tblCellMar>
        </w:tblPrEx>
        <w:tc>
          <w:tcPr>
            <w:tcW w:w="2000" w:type="dxa"/>
            <w:tcMar>
              <w:top w:w="100" w:type="dxa"/>
              <w:left w:w="120" w:type="dxa"/>
              <w:bottom w:w="100" w:type="dxa"/>
              <w:right w:w="120" w:type="dxa"/>
            </w:tcMar>
          </w:tcPr>
          <w:p w14:paraId="6479178C" w14:textId="77777777" w:rsidR="0099437E" w:rsidRPr="003D7036" w:rsidRDefault="00E63A4C">
            <w:pPr>
              <w:spacing w:after="40"/>
              <w:rPr>
                <w:lang w:val="en-US"/>
              </w:rPr>
            </w:pPr>
            <w:r w:rsidRPr="003D7036">
              <w:rPr>
                <w:color w:val="262626"/>
                <w:sz w:val="20"/>
                <w:szCs w:val="20"/>
                <w:lang w:val="en-US"/>
              </w:rPr>
              <w:t>Sinergia internal capacity insufficient to operate api.arhiax.com at SLA.</w:t>
            </w:r>
          </w:p>
        </w:tc>
        <w:tc>
          <w:tcPr>
            <w:tcW w:w="2000" w:type="dxa"/>
            <w:tcMar>
              <w:top w:w="100" w:type="dxa"/>
              <w:left w:w="120" w:type="dxa"/>
              <w:bottom w:w="100" w:type="dxa"/>
              <w:right w:w="120" w:type="dxa"/>
            </w:tcMar>
          </w:tcPr>
          <w:p w14:paraId="14894C79" w14:textId="77777777" w:rsidR="0099437E" w:rsidRDefault="00E63A4C">
            <w:pPr>
              <w:spacing w:after="40"/>
              <w:jc w:val="center"/>
            </w:pPr>
            <w:r>
              <w:rPr>
                <w:color w:val="262626"/>
                <w:sz w:val="20"/>
                <w:szCs w:val="20"/>
              </w:rPr>
              <w:t>Medium</w:t>
            </w:r>
          </w:p>
        </w:tc>
        <w:tc>
          <w:tcPr>
            <w:tcW w:w="2000" w:type="dxa"/>
            <w:tcMar>
              <w:top w:w="100" w:type="dxa"/>
              <w:left w:w="120" w:type="dxa"/>
              <w:bottom w:w="100" w:type="dxa"/>
              <w:right w:w="120" w:type="dxa"/>
            </w:tcMar>
          </w:tcPr>
          <w:p w14:paraId="72478609" w14:textId="77777777" w:rsidR="0099437E" w:rsidRPr="003D7036" w:rsidRDefault="00E63A4C">
            <w:pPr>
              <w:spacing w:after="40"/>
              <w:rPr>
                <w:lang w:val="en-US"/>
              </w:rPr>
            </w:pPr>
            <w:r w:rsidRPr="003D7036">
              <w:rPr>
                <w:color w:val="262626"/>
                <w:sz w:val="20"/>
                <w:szCs w:val="20"/>
                <w:lang w:val="en-US"/>
              </w:rPr>
              <w:t>Phase 2 of the roadmap explicitly includes infrastructure provisioning and load testing before launch. Initial scale is sized for first 12 months of conservative growth. Scali</w:t>
            </w:r>
            <w:r w:rsidRPr="003D7036">
              <w:rPr>
                <w:color w:val="262626"/>
                <w:sz w:val="20"/>
                <w:szCs w:val="20"/>
                <w:lang w:val="en-US"/>
              </w:rPr>
              <w:t>ng beyond requires hiring and is gated by ARR milestones.</w:t>
            </w:r>
          </w:p>
        </w:tc>
      </w:tr>
    </w:tbl>
    <w:p w14:paraId="11205009" w14:textId="77777777" w:rsidR="0099437E" w:rsidRPr="003D7036" w:rsidRDefault="00E63A4C">
      <w:pPr>
        <w:spacing w:after="120"/>
        <w:rPr>
          <w:lang w:val="en-US"/>
        </w:rPr>
      </w:pPr>
      <w:r w:rsidRPr="003D7036">
        <w:rPr>
          <w:lang w:val="en-US"/>
        </w:rPr>
        <w:t xml:space="preserve"> </w:t>
      </w:r>
    </w:p>
    <w:p w14:paraId="1FAB3267" w14:textId="77777777" w:rsidR="0099437E" w:rsidRPr="003D7036" w:rsidRDefault="00E63A4C">
      <w:pPr>
        <w:spacing w:after="120"/>
        <w:rPr>
          <w:lang w:val="en-US"/>
        </w:rPr>
      </w:pPr>
      <w:r w:rsidRPr="003D7036">
        <w:rPr>
          <w:lang w:val="en-US"/>
        </w:rPr>
        <w:t xml:space="preserve"> </w:t>
      </w:r>
    </w:p>
    <w:p w14:paraId="05B957B0" w14:textId="77777777" w:rsidR="0099437E" w:rsidRPr="003D7036" w:rsidRDefault="00E63A4C">
      <w:pPr>
        <w:spacing w:before="400" w:after="200"/>
        <w:jc w:val="center"/>
        <w:rPr>
          <w:lang w:val="en-US"/>
        </w:rPr>
      </w:pPr>
      <w:r w:rsidRPr="003D7036">
        <w:rPr>
          <w:i/>
          <w:iCs/>
          <w:color w:val="595959"/>
          <w:sz w:val="20"/>
          <w:szCs w:val="20"/>
          <w:lang w:val="en-US"/>
        </w:rPr>
        <w:lastRenderedPageBreak/>
        <w:t>— End of Document —</w:t>
      </w:r>
    </w:p>
    <w:p w14:paraId="3265AC3E" w14:textId="77777777" w:rsidR="0099437E" w:rsidRPr="003D7036" w:rsidRDefault="00E63A4C">
      <w:pPr>
        <w:jc w:val="center"/>
        <w:rPr>
          <w:lang w:val="en-US"/>
        </w:rPr>
      </w:pPr>
      <w:r w:rsidRPr="003D7036">
        <w:rPr>
          <w:color w:val="595959"/>
          <w:sz w:val="18"/>
          <w:szCs w:val="18"/>
          <w:lang w:val="en-US"/>
        </w:rPr>
        <w:t>ARHIAX v11.4 · OpenCore Strategy · v1.0</w:t>
      </w:r>
    </w:p>
    <w:p w14:paraId="018D8DEF" w14:textId="77777777" w:rsidR="0099437E" w:rsidRDefault="00E63A4C">
      <w:pPr>
        <w:jc w:val="center"/>
      </w:pPr>
      <w:r w:rsidRPr="003D7036">
        <w:rPr>
          <w:color w:val="595959"/>
          <w:sz w:val="18"/>
          <w:szCs w:val="18"/>
          <w:lang w:val="en-US"/>
        </w:rPr>
        <w:t xml:space="preserve">Sinergia Consulting Group S.A.S.  </w:t>
      </w:r>
      <w:r>
        <w:rPr>
          <w:color w:val="595959"/>
          <w:sz w:val="18"/>
          <w:szCs w:val="18"/>
        </w:rPr>
        <w:t>·  Barranquilla, Colombia</w:t>
      </w:r>
    </w:p>
    <w:sectPr w:rsidR="0099437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5819F" w14:textId="77777777" w:rsidR="00E63A4C" w:rsidRDefault="00E63A4C">
      <w:r>
        <w:separator/>
      </w:r>
    </w:p>
  </w:endnote>
  <w:endnote w:type="continuationSeparator" w:id="0">
    <w:p w14:paraId="252D23E8" w14:textId="77777777" w:rsidR="00E63A4C" w:rsidRDefault="00E6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FFAF9" w14:textId="77777777" w:rsidR="0099437E" w:rsidRDefault="00E63A4C">
    <w:pPr>
      <w:jc w:val="center"/>
    </w:pPr>
    <w:r w:rsidRPr="003D7036">
      <w:rPr>
        <w:color w:val="595959"/>
        <w:sz w:val="18"/>
        <w:szCs w:val="18"/>
        <w:lang w:val="en-US"/>
      </w:rPr>
      <w:t xml:space="preserve">Sinergia Consulting Group S.A.S.  </w:t>
    </w:r>
    <w:r>
      <w:rPr>
        <w:color w:val="595959"/>
        <w:sz w:val="18"/>
        <w:szCs w:val="18"/>
      </w:rPr>
      <w:t xml:space="preserve">·  Confidencial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3D7036">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3D7036">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F0F01" w14:textId="77777777" w:rsidR="00E63A4C" w:rsidRDefault="00E63A4C">
      <w:r>
        <w:separator/>
      </w:r>
    </w:p>
  </w:footnote>
  <w:footnote w:type="continuationSeparator" w:id="0">
    <w:p w14:paraId="515D488D" w14:textId="77777777" w:rsidR="00E63A4C" w:rsidRDefault="00E63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60AD3" w14:textId="77777777" w:rsidR="0099437E" w:rsidRDefault="00E63A4C">
    <w:pPr>
      <w:jc w:val="right"/>
    </w:pPr>
    <w:r>
      <w:rPr>
        <w:color w:val="595959"/>
        <w:sz w:val="18"/>
        <w:szCs w:val="18"/>
      </w:rPr>
      <w:t>ARHIAX v11.4 — OpenCore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B35586"/>
    <w:multiLevelType w:val="hybridMultilevel"/>
    <w:tmpl w:val="7BDE65B0"/>
    <w:lvl w:ilvl="0" w:tplc="AA82DFCE">
      <w:start w:val="1"/>
      <w:numFmt w:val="bullet"/>
      <w:lvlText w:val="●"/>
      <w:lvlJc w:val="left"/>
      <w:pPr>
        <w:ind w:left="720" w:hanging="360"/>
      </w:pPr>
    </w:lvl>
    <w:lvl w:ilvl="1" w:tplc="A20AC45E">
      <w:start w:val="1"/>
      <w:numFmt w:val="bullet"/>
      <w:lvlText w:val="○"/>
      <w:lvlJc w:val="left"/>
      <w:pPr>
        <w:ind w:left="1440" w:hanging="360"/>
      </w:pPr>
    </w:lvl>
    <w:lvl w:ilvl="2" w:tplc="0742E216">
      <w:start w:val="1"/>
      <w:numFmt w:val="bullet"/>
      <w:lvlText w:val="■"/>
      <w:lvlJc w:val="left"/>
      <w:pPr>
        <w:ind w:left="2160" w:hanging="360"/>
      </w:pPr>
    </w:lvl>
    <w:lvl w:ilvl="3" w:tplc="F768E7A2">
      <w:start w:val="1"/>
      <w:numFmt w:val="bullet"/>
      <w:lvlText w:val="●"/>
      <w:lvlJc w:val="left"/>
      <w:pPr>
        <w:ind w:left="2880" w:hanging="360"/>
      </w:pPr>
    </w:lvl>
    <w:lvl w:ilvl="4" w:tplc="E4E4ADE0">
      <w:start w:val="1"/>
      <w:numFmt w:val="bullet"/>
      <w:lvlText w:val="○"/>
      <w:lvlJc w:val="left"/>
      <w:pPr>
        <w:ind w:left="3600" w:hanging="360"/>
      </w:pPr>
    </w:lvl>
    <w:lvl w:ilvl="5" w:tplc="DBF286F6">
      <w:start w:val="1"/>
      <w:numFmt w:val="bullet"/>
      <w:lvlText w:val="■"/>
      <w:lvlJc w:val="left"/>
      <w:pPr>
        <w:ind w:left="4320" w:hanging="360"/>
      </w:pPr>
    </w:lvl>
    <w:lvl w:ilvl="6" w:tplc="34CAA282">
      <w:start w:val="1"/>
      <w:numFmt w:val="bullet"/>
      <w:lvlText w:val="●"/>
      <w:lvlJc w:val="left"/>
      <w:pPr>
        <w:ind w:left="5040" w:hanging="360"/>
      </w:pPr>
    </w:lvl>
    <w:lvl w:ilvl="7" w:tplc="E67A75CA">
      <w:start w:val="1"/>
      <w:numFmt w:val="bullet"/>
      <w:lvlText w:val="●"/>
      <w:lvlJc w:val="left"/>
      <w:pPr>
        <w:ind w:left="5760" w:hanging="360"/>
      </w:pPr>
    </w:lvl>
    <w:lvl w:ilvl="8" w:tplc="609CAF48">
      <w:start w:val="1"/>
      <w:numFmt w:val="bullet"/>
      <w:lvlText w:val="●"/>
      <w:lvlJc w:val="left"/>
      <w:pPr>
        <w:ind w:left="6480" w:hanging="360"/>
      </w:pPr>
    </w:lvl>
  </w:abstractNum>
  <w:abstractNum w:abstractNumId="1" w15:restartNumberingAfterBreak="0">
    <w:nsid w:val="6F6F4691"/>
    <w:multiLevelType w:val="hybridMultilevel"/>
    <w:tmpl w:val="C060A3B8"/>
    <w:lvl w:ilvl="0" w:tplc="3F96C9FA">
      <w:start w:val="1"/>
      <w:numFmt w:val="decimal"/>
      <w:lvlText w:val="%1."/>
      <w:lvlJc w:val="left"/>
      <w:pPr>
        <w:ind w:left="720" w:hanging="360"/>
      </w:pPr>
    </w:lvl>
    <w:lvl w:ilvl="1" w:tplc="32EC0560">
      <w:numFmt w:val="decimal"/>
      <w:lvlText w:val=""/>
      <w:lvlJc w:val="left"/>
    </w:lvl>
    <w:lvl w:ilvl="2" w:tplc="86469454">
      <w:numFmt w:val="decimal"/>
      <w:lvlText w:val=""/>
      <w:lvlJc w:val="left"/>
    </w:lvl>
    <w:lvl w:ilvl="3" w:tplc="C3A2C7AC">
      <w:numFmt w:val="decimal"/>
      <w:lvlText w:val=""/>
      <w:lvlJc w:val="left"/>
    </w:lvl>
    <w:lvl w:ilvl="4" w:tplc="B1DA7D4A">
      <w:numFmt w:val="decimal"/>
      <w:lvlText w:val=""/>
      <w:lvlJc w:val="left"/>
    </w:lvl>
    <w:lvl w:ilvl="5" w:tplc="ED687112">
      <w:numFmt w:val="decimal"/>
      <w:lvlText w:val=""/>
      <w:lvlJc w:val="left"/>
    </w:lvl>
    <w:lvl w:ilvl="6" w:tplc="38A69C1C">
      <w:numFmt w:val="decimal"/>
      <w:lvlText w:val=""/>
      <w:lvlJc w:val="left"/>
    </w:lvl>
    <w:lvl w:ilvl="7" w:tplc="5EE858DE">
      <w:numFmt w:val="decimal"/>
      <w:lvlText w:val=""/>
      <w:lvlJc w:val="left"/>
    </w:lvl>
    <w:lvl w:ilvl="8" w:tplc="B87A8DE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37E"/>
    <w:rsid w:val="003D7036"/>
    <w:rsid w:val="008B028F"/>
    <w:rsid w:val="0099437E"/>
    <w:rsid w:val="00E63A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67F47"/>
  <w15:docId w15:val="{0AB2EACE-3BE9-470B-95A4-96A8D4E91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80" w:after="140"/>
      <w:outlineLvl w:val="1"/>
    </w:pPr>
    <w:rPr>
      <w:b/>
      <w:bCs/>
      <w:color w:val="2E75B6"/>
      <w:sz w:val="26"/>
      <w:szCs w:val="26"/>
    </w:rPr>
  </w:style>
  <w:style w:type="paragraph" w:styleId="Ttulo3">
    <w:name w:val="heading 3"/>
    <w:uiPriority w:val="9"/>
    <w:unhideWhenUsed/>
    <w:qFormat/>
    <w:pPr>
      <w:spacing w:before="200" w:after="100"/>
      <w:outlineLvl w:val="2"/>
    </w:pPr>
    <w:rPr>
      <w:b/>
      <w:bCs/>
      <w:color w:val="1F386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4727</Words>
  <Characters>25999</Characters>
  <Application>Microsoft Office Word</Application>
  <DocSecurity>0</DocSecurity>
  <Lines>216</Lines>
  <Paragraphs>61</Paragraphs>
  <ScaleCrop>false</ScaleCrop>
  <Company/>
  <LinksUpToDate>false</LinksUpToDate>
  <CharactersWithSpaces>30665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ARHIAX v11.4 OpenCore Strategy</dc:title>
  <dc:creator>Sinergia Consulting Group S.A.S.</dc:creator>
  <dc:description>Open-core licensing and commercialization strategy for ARHIAX v11.4</dc:description>
  <cp:lastModifiedBy>ray miller rincon laurens</cp:lastModifiedBy>
  <cp:revision>3</cp:revision>
  <dcterms:created xsi:type="dcterms:W3CDTF">2026-04-08T03:58:00Z</dcterms:created>
  <dcterms:modified xsi:type="dcterms:W3CDTF">2026-04-08T13:46:00Z</dcterms:modified>
</cp:coreProperties>
</file>