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26"/>
          <w:szCs w:val="26"/>
        </w:rPr>
        <w:t xml:space="preserve">SINERGIA CONSULTING GROUP S.A.S.</w:t>
      </w:r>
    </w:p>
    <w:p>
      <w:pPr>
        <w:spacing w:after="600" w:before="120"/>
        <w:jc w:val="center"/>
      </w:pPr>
      <w:r>
        <w:rPr>
          <w:i/>
          <w:iCs/>
          <w:color w:val="595959"/>
          <w:sz w:val="20"/>
          <w:szCs w:val="20"/>
        </w:rPr>
        <w:t xml:space="preserve">Barranquilla • Bogotá • Colombia</w:t>
      </w:r>
    </w:p>
    <w:p>
      <w:pPr>
        <w:spacing w:before="400"/>
        <w:jc w:val="center"/>
      </w:pPr>
      <w:r>
        <w:rPr>
          <w:b/>
          <w:bCs/>
          <w:color w:val="1F3864"/>
          <w:sz w:val="72"/>
          <w:szCs w:val="72"/>
        </w:rPr>
        <w:t xml:space="preserve">ARHIAX</w:t>
      </w:r>
    </w:p>
    <w:p>
      <w:pPr>
        <w:spacing w:after="200" w:before="60"/>
        <w:jc w:val="center"/>
      </w:pPr>
      <w:r>
        <w:rPr>
          <w:i/>
          <w:iCs/>
          <w:color w:val="2E75B6"/>
          <w:sz w:val="22"/>
          <w:szCs w:val="22"/>
        </w:rPr>
        <w:t xml:space="preserve">Agentic Runtime for Human-in-Architecture</w:t>
      </w:r>
    </w:p>
    <w:p>
      <w:pPr>
        <w:spacing w:after="200" w:before="600"/>
        <w:jc w:val="center"/>
      </w:pPr>
      <w:r>
        <w:rPr>
          <w:b/>
          <w:bCs/>
          <w:color w:val="1F3864"/>
          <w:sz w:val="36"/>
          <w:szCs w:val="36"/>
        </w:rPr>
        <w:t xml:space="preserve">Remediation Traceability Matrix</w:t>
      </w:r>
    </w:p>
    <w:p>
      <w:pPr>
        <w:spacing w:after="200"/>
        <w:jc w:val="center"/>
      </w:pPr>
      <w:r>
        <w:rPr>
          <w:color w:val="595959"/>
          <w:sz w:val="24"/>
          <w:szCs w:val="24"/>
        </w:rPr>
        <w:t xml:space="preserve">v11.1 → v11.4 Control Lineage</w:t>
      </w:r>
    </w:p>
    <w:p>
      <w:pPr>
        <w:spacing w:after="800" w:before="400"/>
        <w:jc w:val="center"/>
      </w:pPr>
      <w:r>
        <w:rPr>
          <w:i/>
          <w:iCs/>
          <w:color w:val="2E75B6"/>
          <w:sz w:val="22"/>
          <w:szCs w:val="22"/>
        </w:rPr>
        <w:t xml:space="preserve">From 47 informal items to 36 auditable controls — with full lineage.</w:t>
      </w:r>
    </w:p>
    <w:p>
      <w:pPr>
        <w:spacing w:before="1200"/>
        <w:jc w:val="center"/>
      </w:pPr>
      <w:r>
        <w:rPr>
          <w:b/>
          <w:bCs/>
          <w:color w:val="1F3864"/>
          <w:sz w:val="22"/>
          <w:szCs w:val="22"/>
        </w:rPr>
        <w:t xml:space="preserve">Document Reference: TR-2026-034-RTM</w:t>
      </w:r>
    </w:p>
    <w:p>
      <w:pPr>
        <w:spacing w:before="100"/>
        <w:jc w:val="center"/>
      </w:pPr>
      <w:r>
        <w:rPr>
          <w:sz w:val="20"/>
          <w:szCs w:val="20"/>
        </w:rPr>
        <w:t xml:space="preserve">Version: 11.4</w:t>
      </w:r>
    </w:p>
    <w:p>
      <w:pPr>
        <w:spacing w:before="60"/>
        <w:jc w:val="center"/>
      </w:pPr>
      <w:r>
        <w:rPr>
          <w:sz w:val="20"/>
          <w:szCs w:val="20"/>
        </w:rPr>
        <w:t xml:space="preserve">April 2026</w:t>
      </w:r>
    </w:p>
    <w:p>
      <w:pPr>
        <w:spacing w:before="60"/>
        <w:jc w:val="center"/>
      </w:pPr>
      <w:r>
        <w:rPr>
          <w:b/>
          <w:bCs/>
          <w:color w:val="C00000"/>
          <w:sz w:val="18"/>
          <w:szCs w:val="18"/>
        </w:rPr>
        <w:t xml:space="preserve">Classification: CONFIDENTIAL</w:t>
      </w:r>
    </w:p>
    <w:p>
      <w:pPr>
        <w:spacing w:before="1600"/>
        <w:jc w:val="center"/>
      </w:pPr>
      <w:r>
        <w:rPr>
          <w:color w:val="595959"/>
          <w:sz w:val="16"/>
          <w:szCs w:val="16"/>
        </w:rPr>
        <w:t xml:space="preserve">© 2026 Sinergia Consulting Group S.A.S. • All Rights Reserved</w:t>
      </w:r>
    </w:p>
    <w:p>
      <w:r>
        <w:br w:type="page"/>
      </w:r>
    </w:p>
    <w:p>
      <w:pPr>
        <w:pStyle w:val="Heading1"/>
      </w:pPr>
      <w:r>
        <w:t xml:space="preserve">1. Purpose</w:t>
      </w:r>
    </w:p>
    <w:p>
      <w:pPr>
        <w:spacing w:after="120" w:line="300"/>
        <w:jc w:val="both"/>
      </w:pPr>
      <w:r>
        <w:t xml:space="preserve">This Remediation Traceability Matrix (RTM) establishes the formal lineage between every item in the ARHIA v11.1 informal control inventory and its corresponding control in the ARHIAX v11.4 auditable Control Registry. The RTM is the document that an auditor consults to answer the question: "What happened to control X from v11.1?" Every v11.1 item is accounted for in one of five disposition categories: KEPT, CONSOLIDATED, RETIRED, PROMOTED, or NEW (the NEW category covers v11.4 controls that have no v11.1 antecedent).</w:t>
      </w:r>
    </w:p>
    <w:p>
      <w:pPr>
        <w:spacing w:after="120" w:line="300"/>
        <w:jc w:val="both"/>
      </w:pPr>
      <w:r>
        <w:t xml:space="preserve">The RTM is structured to support three workflows: (a) audit traceability — verifying that no v11.1 control was silently dropped without justification; (b) migration planning — helping existing v11.1 deployments understand how their current configuration maps to v11.4; and (c) academic reproducibility — providing a verifiable evolution record for the ARHIA paper series (Papers A, B, C).</w:t>
      </w:r>
    </w:p>
    <w:p>
      <w:pPr>
        <w:pStyle w:val="Heading1"/>
      </w:pPr>
      <w:r>
        <w:t xml:space="preserve">2. Disposition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Disposition</w:t>
            </w:r>
          </w:p>
        </w:tc>
        <w:tc>
          <w:tcPr>
            <w:tcW w:type="dxa" w:w="11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Count</w:t>
            </w:r>
          </w:p>
        </w:tc>
        <w:tc>
          <w:tcPr>
            <w:tcW w:type="dxa" w:w="60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Definition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KEPT</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17</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v11.1 control retained in v11.4 with the same intent (possibly enhanced)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CONSOLIDATED</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3</w:t>
            </w:r>
          </w:p>
        </w:tc>
        <w:tc>
          <w:tcPr>
            <w:tcW w:type="dxa" w:w="6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v11.1 control merged into another v11.4 control to eliminate redundancy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PROMOTED</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7</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v11.1 informal item formalized into an auditable control with a defined evidence type and frequency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RETIRED</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7</w:t>
            </w:r>
          </w:p>
        </w:tc>
        <w:tc>
          <w:tcPr>
            <w:tcW w:type="dxa" w:w="6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v11.1 aspirational item removed from the registry (preserved as research backlog where applicable)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NEW</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13</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v11.4 control with no v11.1 antecedent (introduced by AIM, EGA, BBR, IPM, MFCE, or other v11.4 components)</w:t>
            </w:r>
          </w:p>
        </w:tc>
      </w:tr>
    </w:tbl>
    <w:p>
      <w:pPr>
        <w:pStyle w:val="Heading1"/>
      </w:pPr>
      <w:r>
        <w:t xml:space="preserve">3. Reconciliation Math</w:t>
      </w:r>
    </w:p>
    <w:p>
      <w:pPr>
        <w:spacing w:after="120" w:line="300"/>
        <w:jc w:val="both"/>
      </w:pPr>
      <w:r>
        <w:t xml:space="preserve">The transition from v11.1 (47 informal items) to v11.4 (36 auditable controls) is reconciled as follows:</w:t>
      </w:r>
    </w:p>
    <w:p>
      <w:pPr>
        <w:pStyle w:val="ListParagraph"/>
        <w:numPr>
          <w:ilvl w:val="0"/>
          <w:numId w:val="2"/>
        </w:numPr>
        <w:spacing w:after="80"/>
      </w:pPr>
      <w:r>
        <w:t xml:space="preserve">Starting v11.1 informal items: 47</w:t>
      </w:r>
    </w:p>
    <w:p>
      <w:pPr>
        <w:pStyle w:val="ListParagraph"/>
        <w:numPr>
          <w:ilvl w:val="0"/>
          <w:numId w:val="2"/>
        </w:numPr>
        <w:spacing w:after="80"/>
      </w:pPr>
      <w:r>
        <w:t xml:space="preserve">KEPT (1:1 retained): 17</w:t>
      </w:r>
    </w:p>
    <w:p>
      <w:pPr>
        <w:pStyle w:val="ListParagraph"/>
        <w:numPr>
          <w:ilvl w:val="0"/>
          <w:numId w:val="2"/>
        </w:numPr>
        <w:spacing w:after="80"/>
      </w:pPr>
      <w:r>
        <w:t xml:space="preserve">CONSOLIDATED (merged into other controls): 3</w:t>
      </w:r>
    </w:p>
    <w:p>
      <w:pPr>
        <w:pStyle w:val="ListParagraph"/>
        <w:numPr>
          <w:ilvl w:val="0"/>
          <w:numId w:val="2"/>
        </w:numPr>
        <w:spacing w:after="80"/>
      </w:pPr>
      <w:r>
        <w:t xml:space="preserve">PROMOTED (informal → formal): 7</w:t>
      </w:r>
    </w:p>
    <w:p>
      <w:pPr>
        <w:pStyle w:val="ListParagraph"/>
        <w:numPr>
          <w:ilvl w:val="0"/>
          <w:numId w:val="2"/>
        </w:numPr>
        <w:spacing w:after="80"/>
      </w:pPr>
      <w:r>
        <w:t xml:space="preserve">RETIRED (aspirational removed): 7</w:t>
      </w:r>
    </w:p>
    <w:p>
      <w:pPr>
        <w:pStyle w:val="ListParagraph"/>
        <w:numPr>
          <w:ilvl w:val="0"/>
          <w:numId w:val="2"/>
        </w:numPr>
        <w:spacing w:after="80"/>
      </w:pPr>
      <w:r>
        <w:t xml:space="preserve">v11.1 items accounted for: 34</w:t>
      </w:r>
    </w:p>
    <w:p>
      <w:pPr>
        <w:pStyle w:val="ListParagraph"/>
        <w:numPr>
          <w:ilvl w:val="0"/>
          <w:numId w:val="2"/>
        </w:numPr>
        <w:spacing w:after="80"/>
      </w:pPr>
      <w:r>
        <w:t xml:space="preserve">NEW v11.4 controls (no v11.1 antecedent): 13</w:t>
      </w:r>
    </w:p>
    <w:p>
      <w:pPr>
        <w:pStyle w:val="ListParagraph"/>
        <w:numPr>
          <w:ilvl w:val="0"/>
          <w:numId w:val="2"/>
        </w:numPr>
        <w:spacing w:after="80"/>
      </w:pPr>
      <w:r>
        <w:t xml:space="preserve">Resulting v11.4 control count: 36</w:t>
      </w:r>
    </w:p>
    <w:p>
      <w:pPr>
        <w:spacing w:after="120" w:line="300"/>
        <w:jc w:val="both"/>
      </w:pPr>
      <w:r>
        <w:t xml:space="preserve">Note: the KEPT, CONSOLIDATED, and PROMOTED categories together account for the v11.1 items that survived into v11.4 in some form. The CONSOLIDATED category often results in multiple v11.1 items mapping to a single v11.4 control, which is why the v11.4 control count (36) is smaller than the sum of v11.1 items that survived plus NEW items. The retired aspirational items have been preserved in the ARHIAX research backlog where they may inform future versions.</w:t>
      </w:r>
    </w:p>
    <w:p>
      <w:pPr>
        <w:pStyle w:val="Heading1"/>
      </w:pPr>
      <w:r>
        <w:t xml:space="preserve">4. Full Lineage Table</w:t>
      </w:r>
    </w:p>
    <w:p>
      <w:pPr>
        <w:spacing w:after="120" w:line="300"/>
        <w:jc w:val="both"/>
      </w:pPr>
      <w:r>
        <w:t xml:space="preserve">The following table is the complete v11.1 → v11.4 traceability matrix. Items marked as NEW have a placeholder “—” in the v11.1 ID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1800"/>
        <w:gridCol w:w="1500"/>
        <w:gridCol w:w="1860"/>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v11.1 ID</w:t>
            </w:r>
          </w:p>
        </w:tc>
        <w:tc>
          <w:tcPr>
            <w:tcW w:type="dxa" w:w="27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v11.1 Description</w:t>
            </w:r>
          </w:p>
        </w:tc>
        <w:tc>
          <w:tcPr>
            <w:tcW w:type="dxa" w:w="1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v11.4 Control(s)</w:t>
            </w:r>
          </w:p>
        </w:tc>
        <w:tc>
          <w:tcPr>
            <w:tcW w:type="dxa" w:w="1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Disposition</w:t>
            </w:r>
          </w:p>
        </w:tc>
        <w:tc>
          <w:tcPr>
            <w:tcW w:type="dxa" w:w="18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r>
              <w:rPr>
                <w:b/>
                <w:bCs/>
                <w:color w:val="1F3864"/>
                <w:sz w:val="20"/>
                <w:szCs w:val="20"/>
              </w:rPr>
              <w:t xml:space="preserve">Notes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v111-ATK-01</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Identity check on inbound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ATK-C01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KEPT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Formalized as AIM resolution hook</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v111-ATK-02</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Authorization decision</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ATK-C02</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KEPT</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Reaffirmed; OPA bundle scope expanded to 19 bundles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v111-ATK-03</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Prompt scan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ATK-C03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KEPT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Heuristic policy moved into bundle B05</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v111-ATK-04</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Output scan</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ATK-C04</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KEPT</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Heuristic policy moved into bundle B06</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v111-ATK-05</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Tool whitelist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ATK-C02 / B01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CONSOLIDATED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Merged into ATK-C02; whitelist now in bundle B01</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v111-ATK-06</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Cost cap check</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ATK-C02 / B07</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CONSOLIDATED</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Merged into ATK-C02; rate/cost rules in bundle B07</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v111-ATK-07</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Aspirational: emotion-aware deny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RETIRED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Aspirational, not auditable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v111-ATK-08</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Baseline check (informal)</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ATK-C05</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PROMOTED</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Promoted to formal control; backed by BBR (NEW)</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v111-ATK-09</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Autonomy gate (informal)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ATK-C06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PROMOTED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Promoted to formal control; backed by AUT 5-gate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Configuration audit on startup</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ATK-C07</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NEW</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New in v11.4; emits ATT to EGA</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NHI credential issuance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AIM-C01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NEW</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New module v11.4</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6-phase lifecycle enforcement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AIM-C02</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NEW</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New module v11.4</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Credential rotation schedule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AIM-C03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NEW</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New module v11.4</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v111-ABO-01</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Agent manifest generation</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ABO-C01</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KEPT</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Schema enhanced with AIM credential ref</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v111-ABO-02</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Dependency tracking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ABO-C02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KEPT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Provenance flagging added</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v111-ABO-03</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Manifest signing (informal)</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ABO-C01</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CONSOLIDATED</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Folded into ABO-C01</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v111-ABO-04</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Retirement event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ABO-C03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KEPT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Now emits ATT evidence on retirement</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v111-ABO-05</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Aspirational: live SBOM diff</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RETIRED</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Aspirational; not implementable in current OPA bundles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v111-HIC-01</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Pre-deployment review</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HIC-C01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KEPT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Unchanged</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v111-HIC-02</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High-impact decision review</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HIC-C02</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KEPT</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Unchanged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v111-HIC-03</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Anomaly escalation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HIC-C03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KEPT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Now consumes D-TCG+ novel anomaly alerts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v111-HIC-04</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Periodic recertification</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HIC-C04</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KEPT</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Frequency now driven by AUT level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v111-HIC-05</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Lessons-learned review</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HIC-C05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KEPT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Now triggered by IPM playbook closure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v111-AUT-01</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Autonomy level assignment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AUT-C01</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KEPT</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Process formalized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v111-AUT-02</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Promotion review (informal)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AUT-C02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PROMOTED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Now 5-gate protocol per CSA ATF</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v111-AUT-03</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Demotion (informal)</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AUT-C03</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PROMOTED</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Now formal automated demotion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v111-AUT-04</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Maturity model alignment (partial)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AUT-C04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PROMOTED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Crosswalk against 5 external models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v111-AUT-05</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Aspirational: agent-self-rated maturity</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RETIRED</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Aspirational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v111-AUT-06</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Threshold publication (informal)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AUT-C05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PROMOTED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Now drives BBR thresholds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v111-OPA-01</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Bundle distribution</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OPA-C01</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KEPT</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Now signed and version-pinned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v111-OPA-02</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Decision SLO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OPA-C02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KEPT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P99 less than 50 ms target</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v111-OPA-03</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Aspirational: bundle synthesis from NL</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RETIRED</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Aspirational; preserved as research backlog item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v111-OPA-04</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Decision logging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OPA-C04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KEPT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Schema formalized in EGA</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Regression test suite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OPA-C03</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NEW</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New in v11.4; backed by ARHIAX test harness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v111-DTG-01</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Tool call trajectory monitoring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DTG-C01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KEPT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Same intent; now feeds L3 of D-TCG+ v2</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v111-DTG-02</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Anomaly detection (informal)</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DTG-C02 / DTG-C03</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PROMOTED</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Split into BBR (DTG-C02) and Cross-Domain Correlation (DTG-C03)</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v111-DTG-03</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Aspirational: federated D-TCG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RETIRED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Aspirational; preserved as research backlog item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BBR baseline lifecycle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DTG-C02</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NEW</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New in v11.4</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Cross-domain correlation engine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DTG-C03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NEW</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New in v11.4</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Playbook dispatch via IPM</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DTG-C04</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NEW</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New in v11.4</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Post-incident baseline reset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DTG-C05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NEW</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New in v11.4</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Evidence schema conformance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EGA-C01</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NEW</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New module v11.4</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HMAC chain-of-custody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EGA-C02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NEW</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New module v11.4</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Ledger commit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EGA-C03</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NEW</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New module v11.4</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Retention tier enforcement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EGA-C04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NEW</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New module v11.4</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v111-MISC-01</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Aspirational: blockchain anchoring</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w:t>
            </w:r>
          </w:p>
        </w:tc>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RETIRED</w:t>
            </w:r>
          </w:p>
        </w:tc>
        <w:tc>
          <w:tcPr>
            <w:tcW w:type="dxa" w:w="1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20"/>
                <w:szCs w:val="20"/>
              </w:rPr>
              <w:t xml:space="preserve">Aspirational; HMAC ledger sufficient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v111-MISC-02</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Aspirational: zero-knowledge audit proofs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RETIRED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Aspirational; preserved as research backlog item</w:t>
            </w:r>
          </w:p>
        </w:tc>
      </w:tr>
    </w:tbl>
    <w:p>
      <w:pPr>
        <w:pStyle w:val="Heading1"/>
      </w:pPr>
      <w:r>
        <w:t xml:space="preserve">5. How to Use This Matrix</w:t>
      </w:r>
    </w:p>
    <w:p>
      <w:pPr>
        <w:spacing w:after="120" w:line="300"/>
        <w:jc w:val="both"/>
      </w:pPr>
      <w:r>
        <w:t xml:space="preserve">For an auditor: pick any row. Verify that the v11.4 column (a) names a real control in the ARHIAX Control Registry, or (b) is blank with a RETIRED disposition and a justification. Cross-check the v11.4 control against TR-2026-031 (Phase 1 Foundation) for the full ARISE four-question definition.</w:t>
      </w:r>
    </w:p>
    <w:p>
      <w:pPr>
        <w:spacing w:after="120" w:line="300"/>
        <w:jc w:val="both"/>
      </w:pPr>
      <w:r>
        <w:t xml:space="preserve">For an existing v11.1 deployment migrating to ARHIAX v11.4: walk this matrix top to bottom. For every CONSOLIDATED row, the existing configuration may need to be re-targeted to the consolidated control. For every PROMOTED row, the existing informal item must be re-issued as a formal control (this typically requires defining the evidence type and validation frequency for the first time). For every RETIRED row, the existing item should be removed from operational dashboards and runbooks. For every NEW row, a new component (AIM, EGA, BBR, etc.) must be deployed and integrated.</w:t>
      </w:r>
    </w:p>
    <w:p>
      <w:pPr>
        <w:spacing w:after="120" w:line="300"/>
        <w:jc w:val="both"/>
      </w:pPr>
      <w:r>
        <w:t xml:space="preserve">For an academic reviewer: every item in this matrix is a verifiable claim. The v11.1 column references the original informal inventory (available on request from Sinergia under NDA); the v11.4 column references TR-2026-031, TR-2026-033, and TR-2026-034. The disposition labels are mutually exclusive and exhaustive.</w:t>
      </w:r>
    </w:p>
    <w:p>
      <w:pPr>
        <w:spacing w:after="120" w:line="300"/>
        <w:jc w:val="both"/>
      </w:pPr>
      <w:r>
        <w:t xml:space="preserve"/>
      </w:r>
    </w:p>
    <w:p>
      <w:pPr>
        <w:spacing w:after="120" w:line="300"/>
        <w:jc w:val="center"/>
      </w:pPr>
      <w:r>
        <w:rPr>
          <w:i/>
          <w:iCs/>
        </w:rPr>
        <w:t xml:space="preserve">Fin del Documento — TR-2026-034-RTM — ARHIAX v11.4 Remediation Traceability Matrix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color w:val="595959"/>
        <w:sz w:val="16"/>
        <w:szCs w:val="16"/>
      </w:rPr>
      <w:t xml:space="preserve">TR-2026-034-RTM  •  ARHIAX v11.4  •  CONFIDENTIAL</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b/>
        <w:bCs/>
        <w:color w:val="1F3864"/>
        <w:sz w:val="16"/>
        <w:szCs w:val="16"/>
      </w:rPr>
      <w:t xml:space="preserve">SINERGIA CONSULTING GROUP S.A.S.</w:t>
    </w:r>
    <w:r>
      <w:rPr>
        <w:color w:val="595959"/>
        <w:sz w:val="16"/>
        <w:szCs w:val="16"/>
      </w:rPr>
      <w:t xml:space="preserve">	Remediation Traceability Matrix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3"/>
      <w:szCs w:val="23"/>
    </w:rPr>
  </w:style>
  <w:style w:type="paragraph" w:styleId="Heading4">
    <w:name w:val="Heading 4"/>
    <w:basedOn w:val="Normal"/>
    <w:next w:val="Normal"/>
    <w:qFormat/>
    <w:pPr>
      <w:spacing w:after="80" w:before="140"/>
      <w:outlineLvl w:val="3"/>
    </w:pPr>
    <w:rPr>
      <w:rFonts w:ascii="Arial" w:cs="Arial" w:eastAsia="Arial" w:hAnsi="Arial"/>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Remediation Traceability Matrix</dc:title>
  <dc:creator>Sinergia Consulting Group S.A.S.</dc:creator>
  <dc:description>ARHIAX v11.4 — Remediation Traceability Matrix</dc:description>
  <cp:lastModifiedBy>Un-named</cp:lastModifiedBy>
  <cp:revision>1</cp:revision>
  <dcterms:created xsi:type="dcterms:W3CDTF">2026-04-07T16:07:56.926Z</dcterms:created>
  <dcterms:modified xsi:type="dcterms:W3CDTF">2026-04-07T16:07:56.927Z</dcterms:modified>
</cp:coreProperties>
</file>

<file path=docProps/custom.xml><?xml version="1.0" encoding="utf-8"?>
<Properties xmlns="http://schemas.openxmlformats.org/officeDocument/2006/custom-properties" xmlns:vt="http://schemas.openxmlformats.org/officeDocument/2006/docPropsVTypes"/>
</file>