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26"/>
          <w:szCs w:val="26"/>
        </w:rPr>
        <w:t xml:space="preserve">SINERGIA CONSULTING GROUP S.A.S.</w:t>
      </w:r>
    </w:p>
    <w:p>
      <w:pPr>
        <w:spacing w:after="600" w:before="120"/>
        <w:jc w:val="center"/>
      </w:pPr>
      <w:r>
        <w:rPr>
          <w:i/>
          <w:iCs/>
          <w:color w:val="595959"/>
          <w:sz w:val="20"/>
          <w:szCs w:val="20"/>
        </w:rPr>
        <w:t xml:space="preserve">Barranquilla • Bogotá • Colombia</w:t>
      </w:r>
    </w:p>
    <w:p>
      <w:pPr>
        <w:spacing w:before="400"/>
        <w:jc w:val="center"/>
      </w:pPr>
      <w:r>
        <w:rPr>
          <w:b/>
          <w:bCs/>
          <w:color w:val="1F3864"/>
          <w:sz w:val="72"/>
          <w:szCs w:val="72"/>
        </w:rPr>
        <w:t xml:space="preserve">ARHIAX</w:t>
      </w:r>
    </w:p>
    <w:p>
      <w:pPr>
        <w:spacing w:after="200" w:before="60"/>
        <w:jc w:val="center"/>
      </w:pPr>
      <w:r>
        <w:rPr>
          <w:i/>
          <w:iCs/>
          <w:color w:val="2E75B6"/>
          <w:sz w:val="22"/>
          <w:szCs w:val="22"/>
        </w:rPr>
        <w:t xml:space="preserve">Agentic Runtime for Human-in-Architecture</w:t>
      </w:r>
    </w:p>
    <w:p>
      <w:pPr>
        <w:spacing w:after="200" w:before="600"/>
        <w:jc w:val="center"/>
      </w:pPr>
      <w:r>
        <w:rPr>
          <w:b/>
          <w:bCs/>
          <w:color w:val="1F3864"/>
          <w:sz w:val="36"/>
          <w:szCs w:val="36"/>
        </w:rPr>
        <w:t xml:space="preserve">Whitepaper</w:t>
      </w:r>
    </w:p>
    <w:p>
      <w:pPr>
        <w:spacing w:after="200"/>
        <w:jc w:val="center"/>
      </w:pPr>
      <w:r>
        <w:rPr>
          <w:color w:val="595959"/>
          <w:sz w:val="24"/>
          <w:szCs w:val="24"/>
        </w:rPr>
        <w:t xml:space="preserve">The Vendor-Neutral Governance Runtime for Regulated Agentic AI</w:t>
      </w:r>
    </w:p>
    <w:p>
      <w:pPr>
        <w:spacing w:after="800" w:before="400"/>
        <w:jc w:val="center"/>
      </w:pPr>
      <w:r>
        <w:rPr>
          <w:i/>
          <w:iCs/>
          <w:color w:val="2E75B6"/>
          <w:sz w:val="22"/>
          <w:szCs w:val="22"/>
        </w:rPr>
        <w:t xml:space="preserve">"ARISE defines what. NIST defines why. CSA ATF defines how much. ARHIAX executes all three."</w:t>
      </w:r>
    </w:p>
    <w:p>
      <w:pPr>
        <w:spacing w:before="1200"/>
        <w:jc w:val="center"/>
      </w:pPr>
      <w:r>
        <w:rPr>
          <w:b/>
          <w:bCs/>
          <w:color w:val="1F3864"/>
          <w:sz w:val="22"/>
          <w:szCs w:val="22"/>
        </w:rPr>
        <w:t xml:space="preserve">Document Reference: ARHIAX-WP-2026-01</w:t>
      </w:r>
    </w:p>
    <w:p>
      <w:pPr>
        <w:spacing w:before="100"/>
        <w:jc w:val="center"/>
      </w:pPr>
      <w:r>
        <w:rPr>
          <w:sz w:val="20"/>
          <w:szCs w:val="20"/>
        </w:rPr>
        <w:t xml:space="preserve">Version: 11.4</w:t>
      </w:r>
    </w:p>
    <w:p>
      <w:pPr>
        <w:spacing w:before="60"/>
        <w:jc w:val="center"/>
      </w:pPr>
      <w:r>
        <w:rPr>
          <w:sz w:val="20"/>
          <w:szCs w:val="20"/>
        </w:rPr>
        <w:t xml:space="preserve">April 2026</w:t>
      </w:r>
    </w:p>
    <w:p>
      <w:pPr>
        <w:spacing w:before="60"/>
        <w:jc w:val="center"/>
      </w:pPr>
      <w:r>
        <w:rPr>
          <w:b/>
          <w:bCs/>
          <w:color w:val="C00000"/>
          <w:sz w:val="18"/>
          <w:szCs w:val="18"/>
        </w:rPr>
        <w:t xml:space="preserve">Classification: FOR DISTRIBUTION</w:t>
      </w:r>
    </w:p>
    <w:p>
      <w:pPr>
        <w:spacing w:before="1600"/>
        <w:jc w:val="center"/>
      </w:pPr>
      <w:r>
        <w:rPr>
          <w:color w:val="595959"/>
          <w:sz w:val="16"/>
          <w:szCs w:val="16"/>
        </w:rPr>
        <w:t xml:space="preserve">© 2026 Sinergia Consulting Group S.A.S. • All Rights Reserved</w:t>
      </w:r>
    </w:p>
    <w:p>
      <w:r>
        <w:br w:type="page"/>
      </w:r>
    </w:p>
    <w:p>
      <w:pPr>
        <w:pStyle w:val="Heading1"/>
      </w:pPr>
      <w:r>
        <w:t xml:space="preserve">Executive Summary</w:t>
      </w:r>
    </w:p>
    <w:p>
      <w:pPr>
        <w:spacing w:after="120" w:line="300"/>
        <w:jc w:val="both"/>
      </w:pPr>
      <w:r>
        <w:t xml:space="preserve">Between December 2025 and April 2026, the agentic AI governance landscape fractured. Nine major frameworks emerged in fewer than five months: ARISE from Assessed Intelligence, the OWASP Agentic Top 10, the Cloud Security Alliance Agentic Trust Framework, the updated Singapore IMDA Model AI Governance Framework Agentic Edition, NIST AI RMF coupled with CSF 2.0, KPMG TACO, McKinsey Responsible AI, NVIDIA Agentic Autonomy, and the NIST NCCoE Agent Identity Concept Paper. Each defines what governance should look like. None provides an executable runtime.</w:t>
      </w:r>
    </w:p>
    <w:p>
      <w:pPr>
        <w:spacing w:after="120" w:line="300"/>
        <w:jc w:val="both"/>
      </w:pPr>
      <w:r>
        <w:t xml:space="preserve">ARHIAX v11.4 (Agentic Runtime for Human-in-Architecture, Extended) is the only framework on the market that simultaneously provides policy-as-code via OPA/Rego, runtime enforcement via the Agent Trust Kernel, behavioral monitoring via D-TCG+ v2, agent identity management via the Agent Identity Module, and auditable evidence generation via the Evidence Generation Architecture, all formally crosswalked against the five reference frameworks.</w:t>
      </w:r>
    </w:p>
    <w:p>
      <w:pPr>
        <w:spacing w:after="120" w:line="300"/>
        <w:jc w:val="both"/>
      </w:pPr>
      <w:r>
        <w:t xml:space="preserve">This whitepaper presents the ARHIAX value proposition for three audiences: enterprise buyers in regulated industries (financial services, healthcare, critical infrastructure, port logistics); compliance and audit professionals preparing for the next wave of agentic AI regulation; and standards bodies and academic reviewers evaluating ARHIAX's contribution to the governance literature.</w:t>
      </w:r>
    </w:p>
    <w:p>
      <w:pPr>
        <w:pStyle w:val="Heading1"/>
      </w:pPr>
      <w:r>
        <w:t xml:space="preserve">1. The Governance Vacuum</w:t>
      </w:r>
    </w:p>
    <w:p>
      <w:pPr>
        <w:spacing w:after="120" w:line="300"/>
        <w:jc w:val="both"/>
      </w:pPr>
      <w:r>
        <w:t xml:space="preserve">Agentic AI deployments have outpaced governance. Enterprises are deploying multi-agent systems with tool-calling autonomy across regulated workflows: credit decisioning, KYC and AML triage, claims processing, port and logistics orchestration, clinical decision support, and code commit pipelines. The attack surface has expanded accordingly: goal hijacking, tool misuse, excessive permissions, prompt injection, multi-agent collusion, and credential theft. The defenders have governance documents. The attackers have working code.</w:t>
      </w:r>
    </w:p>
    <w:p>
      <w:pPr>
        <w:spacing w:after="120" w:line="300"/>
        <w:jc w:val="both"/>
      </w:pPr>
      <w:r>
        <w:t xml:space="preserve">The fundamental problem is the gap between governance specification and runtime enforcement. Frameworks like ARISE specify a four-question control model: What is implemented? Who is responsible? What evidence is generated? How often is it validated? But the framework does not ship a runtime that answers these questions automatically. Compliance officers translate the questions into policies. Engineers translate policies into code. Auditors translate code back into evidence. Every translation introduces drift, latency, and ambiguity.</w:t>
      </w:r>
    </w:p>
    <w:p>
      <w:pPr>
        <w:spacing w:after="120" w:line="300"/>
        <w:jc w:val="both"/>
      </w:pPr>
      <w:r>
        <w:t xml:space="preserve">ARHIAX collapses this chain. Every control in ARHIAX is simultaneously a documented governance requirement, an executable OPA/Rego rule, a runtime enforcement point in the Agent Trust Kernel, and an evidence-emitting hook into the EGA ledger. The four-question model is answered not by a compliance officer reading a spreadsheet but by a query against the Control Registry API.</w:t>
      </w:r>
    </w:p>
    <w:p>
      <w:pPr>
        <w:pStyle w:val="Heading1"/>
      </w:pPr>
      <w:r>
        <w:t xml:space="preserve">2. ARHIAX in One Page</w:t>
      </w:r>
    </w:p>
    <w:p>
      <w:pPr>
        <w:pStyle w:val="Heading2"/>
      </w:pPr>
      <w:r>
        <w:t xml:space="preserve">2.1 What ARHIAX Is</w:t>
      </w:r>
    </w:p>
    <w:p>
      <w:pPr>
        <w:spacing w:after="120" w:line="300"/>
        <w:jc w:val="both"/>
      </w:pPr>
      <w:r>
        <w:t xml:space="preserve">ARHIAX is a runtime. It is a set of containerized services that sit between an enterprise's agentic AI applications and the underlying LLM, tool, and data infrastructure. Every agent invocation passes through the Agent Trust Kernel, which evaluates identity, authorization, behavioral baseline, autonomy gate, and evidence emission in a single envelope. The runtime is vendor-neutral: it does not depend on any specific LLM provider, agent framework, cloud platform, or policy engine vendor.</w:t>
      </w:r>
    </w:p>
    <w:p>
      <w:pPr>
        <w:pStyle w:val="Heading2"/>
      </w:pPr>
      <w:r>
        <w:t xml:space="preserve">2.2 What ARHIAX Provides</w:t>
      </w:r>
    </w:p>
    <w:p>
      <w:pPr>
        <w:pStyle w:val="ListParagraph"/>
        <w:numPr>
          <w:ilvl w:val="0"/>
          <w:numId w:val="2"/>
        </w:numPr>
        <w:spacing w:after="80"/>
      </w:pPr>
      <w:r>
        <w:t xml:space="preserve">36 auditable controls across 8 subsystems, each mapped to the ARISE four-question model and to five reference frameworks.</w:t>
      </w:r>
    </w:p>
    <w:p>
      <w:pPr>
        <w:pStyle w:val="ListParagraph"/>
        <w:numPr>
          <w:ilvl w:val="0"/>
          <w:numId w:val="2"/>
        </w:numPr>
        <w:spacing w:after="80"/>
      </w:pPr>
      <w:r>
        <w:t xml:space="preserve">19 OPA/Rego policy bundles totaling approximately 2,037 lines of audited policy-as-code, organized into identity, runtime, and governance tiers.</w:t>
      </w:r>
    </w:p>
    <w:p>
      <w:pPr>
        <w:pStyle w:val="ListParagraph"/>
        <w:numPr>
          <w:ilvl w:val="0"/>
          <w:numId w:val="2"/>
        </w:numPr>
        <w:spacing w:after="80"/>
      </w:pPr>
      <w:r>
        <w:t xml:space="preserve">D-TCG+ v2: a four-layer cross-domain correlation engine with 10 correlation rules mapped to the OWASP Agentic Top 10 and 10 incident playbooks.</w:t>
      </w:r>
    </w:p>
    <w:p>
      <w:pPr>
        <w:pStyle w:val="ListParagraph"/>
        <w:numPr>
          <w:ilvl w:val="0"/>
          <w:numId w:val="2"/>
        </w:numPr>
        <w:spacing w:after="80"/>
      </w:pPr>
      <w:r>
        <w:t xml:space="preserve">AIM: a Non-Human Identity module with 10-field credentials, 4-layer composite identity chain, and 6-phase lifecycle management.</w:t>
      </w:r>
    </w:p>
    <w:p>
      <w:pPr>
        <w:pStyle w:val="ListParagraph"/>
        <w:numPr>
          <w:ilvl w:val="0"/>
          <w:numId w:val="2"/>
        </w:numPr>
        <w:spacing w:after="80"/>
      </w:pPr>
      <w:r>
        <w:t xml:space="preserve">EGA: five evidence types in JSON-LD format with HMAC chain-of-custody and 3-tier jurisdiction-aware retention.</w:t>
      </w:r>
    </w:p>
    <w:p>
      <w:pPr>
        <w:pStyle w:val="ListParagraph"/>
        <w:numPr>
          <w:ilvl w:val="0"/>
          <w:numId w:val="2"/>
        </w:numPr>
        <w:spacing w:after="80"/>
      </w:pPr>
      <w:r>
        <w:t xml:space="preserve">Five framework crosswalks: ARISE 100%, OWASP Agentic Top 10 80%, CSA ATF 100%, Singapore MGF Agentic 100%, NIST AI RMF + CSF 2.0 90%.</w:t>
      </w:r>
    </w:p>
    <w:p>
      <w:pPr>
        <w:pStyle w:val="ListParagraph"/>
        <w:numPr>
          <w:ilvl w:val="0"/>
          <w:numId w:val="2"/>
        </w:numPr>
        <w:spacing w:after="80"/>
      </w:pPr>
      <w:r>
        <w:t xml:space="preserve">Six harmonized maturity models behind a unified A0-A4 autonomy scale and 5-gate promotion protocol.</w:t>
      </w:r>
    </w:p>
    <w:p>
      <w:pPr>
        <w:pStyle w:val="Heading2"/>
      </w:pPr>
      <w:r>
        <w:t xml:space="preserve">2.3 What ARHIAX Is Not</w:t>
      </w:r>
    </w:p>
    <w:p>
      <w:pPr>
        <w:pStyle w:val="ListParagraph"/>
        <w:numPr>
          <w:ilvl w:val="0"/>
          <w:numId w:val="2"/>
        </w:numPr>
        <w:spacing w:after="80"/>
      </w:pPr>
      <w:r>
        <w:t xml:space="preserve">ARHIAX is not an LLM. It does not generate, fine-tune, or host language models.</w:t>
      </w:r>
    </w:p>
    <w:p>
      <w:pPr>
        <w:pStyle w:val="ListParagraph"/>
        <w:numPr>
          <w:ilvl w:val="0"/>
          <w:numId w:val="2"/>
        </w:numPr>
        <w:spacing w:after="80"/>
      </w:pPr>
      <w:r>
        <w:t xml:space="preserve">ARHIAX is not an agent framework. It does not replace LangGraph, AutoGen, CrewAI, or comparable orchestrators.</w:t>
      </w:r>
    </w:p>
    <w:p>
      <w:pPr>
        <w:pStyle w:val="ListParagraph"/>
        <w:numPr>
          <w:ilvl w:val="0"/>
          <w:numId w:val="2"/>
        </w:numPr>
        <w:spacing w:after="80"/>
      </w:pPr>
      <w:r>
        <w:t xml:space="preserve">ARHIAX is not a SIEM. It emits evidence into existing SIEM platforms; it does not replace them.</w:t>
      </w:r>
    </w:p>
    <w:p>
      <w:pPr>
        <w:pStyle w:val="ListParagraph"/>
        <w:numPr>
          <w:ilvl w:val="0"/>
          <w:numId w:val="2"/>
        </w:numPr>
        <w:spacing w:after="80"/>
      </w:pPr>
      <w:r>
        <w:t xml:space="preserve">ARHIAX is not a consulting deliverable. It is operational software with a defined runtime, APIs, and deployment topology.</w:t>
      </w:r>
    </w:p>
    <w:p>
      <w:pPr>
        <w:pStyle w:val="Heading1"/>
      </w:pPr>
      <w:r>
        <w:t xml:space="preserve">3. Differentiation</w:t>
      </w:r>
    </w:p>
    <w:p>
      <w:pPr>
        <w:spacing w:after="120" w:line="300"/>
        <w:jc w:val="both"/>
      </w:pPr>
      <w:r>
        <w:t xml:space="preserve">ARHIAX is differentiated from the rest of the agentic AI governance landscape on four axes: executability, neutrality, auditability, and frameworks-as-code coverage.</w:t>
      </w:r>
    </w:p>
    <w:p>
      <w:pPr>
        <w:pStyle w:val="Heading2"/>
      </w:pPr>
      <w:r>
        <w:t xml:space="preserve">3.1 Executability</w:t>
      </w:r>
    </w:p>
    <w:p>
      <w:pPr>
        <w:spacing w:after="120" w:line="300"/>
        <w:jc w:val="both"/>
      </w:pPr>
      <w:r>
        <w:t xml:space="preserve">Every other framework on the market is documentation. ARISE, the OWASP Agentic Top 10, CSA ATF, Singapore MGF Agentic, KPMG TACO, McKinsey RAI, and NVIDIA Agentic Autonomy all describe what governance should look like. None ships a runtime. ARHIAX ships a runtime.</w:t>
      </w:r>
    </w:p>
    <w:p>
      <w:pPr>
        <w:pStyle w:val="Heading2"/>
      </w:pPr>
      <w:r>
        <w:t xml:space="preserve">3.2 Neutrality</w:t>
      </w:r>
    </w:p>
    <w:p>
      <w:pPr>
        <w:spacing w:after="120" w:line="300"/>
        <w:jc w:val="both"/>
      </w:pPr>
      <w:r>
        <w:t xml:space="preserve">ARHIAX has no commercial relationship with any LLM provider, cloud platform, agent framework vendor, or compliance tool vendor. The runtime is open at every integration point: OpenAPI for runtime APIs, JSON-LD for evidence, OPA/Rego for policy, and CEF-ARHIA for telemetry. Buyers retain full freedom to swap any underlying component without modifying ARHIAX.</w:t>
      </w:r>
    </w:p>
    <w:p>
      <w:pPr>
        <w:pStyle w:val="Heading2"/>
      </w:pPr>
      <w:r>
        <w:t xml:space="preserve">3.3 Auditability</w:t>
      </w:r>
    </w:p>
    <w:p>
      <w:pPr>
        <w:spacing w:after="120" w:line="300"/>
        <w:jc w:val="both"/>
      </w:pPr>
      <w:r>
        <w:t xml:space="preserve">ARHIAX produces auditable evidence as a byproduct of every controlled operation. The five evidence types (LOG, ATT, MET, APR, TST) are emitted in JSON-LD with HMAC chain-of-custody and committed to a tamper-evident ledger. Auditors do not have to reconstruct what happened from logs; they query the ledger and receive structured, verifiable evidence.</w:t>
      </w:r>
    </w:p>
    <w:p>
      <w:pPr>
        <w:pStyle w:val="Heading2"/>
      </w:pPr>
      <w:r>
        <w:t xml:space="preserve">3.4 Frameworks-as-Code Coverage</w:t>
      </w:r>
    </w:p>
    <w:p>
      <w:pPr>
        <w:spacing w:after="120" w:line="300"/>
        <w:jc w:val="both"/>
      </w:pPr>
      <w:r>
        <w:t xml:space="preserve">ARHIAX is the only runtime with formal crosswalks against ARISE, OWASP Agentic Top 10, CSA ATF, Singapore MGF Agentic, and NIST AI RMF + CSF 2.0. The crosswalks are not produced by hand; they are generated by the Multi-Framework Crosswalk Engine from the Control Registry, which means they remain consistent as the runtime evolves.</w:t>
      </w:r>
    </w:p>
    <w:p>
      <w:pPr>
        <w:pStyle w:val="Heading1"/>
      </w:pPr>
      <w:r>
        <w:t xml:space="preserve">4. Use Cases</w:t>
      </w:r>
    </w:p>
    <w:p>
      <w:pPr>
        <w:pStyle w:val="Heading2"/>
      </w:pPr>
      <w:r>
        <w:t xml:space="preserve">4.1 Regulated Financial Services</w:t>
      </w:r>
    </w:p>
    <w:p>
      <w:pPr>
        <w:spacing w:after="120" w:line="300"/>
        <w:jc w:val="both"/>
      </w:pPr>
      <w:r>
        <w:t xml:space="preserve">Fintechs and banks deploying agentic AI for credit decisioning, AML triage, fraud detection, and customer onboarding face overlapping obligations: AI-specific regulation (EU AI Act, Brazil LGPD-AI, Colombia CONPES 4144), sector regulation (Banco Central do Brasil PSAV authorization, Basel III model risk management), and data protection (GDPR, LGPD). ARHIAX policy bundles B14 through B19 ship with pre-configured rules for transaction limits, cross-border data flows, and credit decisioning audit trails. The EGA evidence types map directly to the artifacts requested by financial regulators.</w:t>
      </w:r>
    </w:p>
    <w:p>
      <w:pPr>
        <w:pStyle w:val="Heading2"/>
      </w:pPr>
      <w:r>
        <w:t xml:space="preserve">4.2 Port and Logistics Orchestration</w:t>
      </w:r>
    </w:p>
    <w:p>
      <w:pPr>
        <w:spacing w:after="120" w:line="300"/>
        <w:jc w:val="both"/>
      </w:pPr>
      <w:r>
        <w:t xml:space="preserve">Multi-agent port logistics systems coordinate berth allocation, container handling, customs clearance, and last-mile dispatch under tight latency constraints and high consequence of error. ARHIAX provides the governance layer that allows port operators to deploy autonomous coordination agents while maintaining auditable human-in-architecture checkpoints for high-impact decisions (vessel scheduling, customs holds, hazardous cargo routing).</w:t>
      </w:r>
    </w:p>
    <w:p>
      <w:pPr>
        <w:pStyle w:val="Heading2"/>
      </w:pPr>
      <w:r>
        <w:t xml:space="preserve">4.3 Healthcare and Clinical Decision Support</w:t>
      </w:r>
    </w:p>
    <w:p>
      <w:pPr>
        <w:spacing w:after="120" w:line="300"/>
        <w:jc w:val="both"/>
      </w:pPr>
      <w:r>
        <w:t xml:space="preserve">Clinical decision support agents that recommend diagnostic workups, drug interactions, or treatment escalations operate under strict liability and patient safety constraints. ARHIAX HIC checkpoints enforce mandatory human review on every high-autonomy clinical recommendation, and the EGA evidence ledger provides the longitudinal audit trail required by clinical governance committees.</w:t>
      </w:r>
    </w:p>
    <w:p>
      <w:pPr>
        <w:pStyle w:val="Heading2"/>
      </w:pPr>
      <w:r>
        <w:t xml:space="preserve">4.4 Public Sector and Critical Infrastructure</w:t>
      </w:r>
    </w:p>
    <w:p>
      <w:pPr>
        <w:spacing w:after="120" w:line="300"/>
        <w:jc w:val="both"/>
      </w:pPr>
      <w:r>
        <w:t xml:space="preserve">Public-sector deployments of agentic AI face additional accountability requirements: explainability, non-discrimination, public-record retention, and citizen redress. ARHIAX evidence retention defaults align with public records laws, and the Control Registry export format is consumable by parliamentary oversight bodies and public auditors.</w:t>
      </w:r>
    </w:p>
    <w:p>
      <w:pPr>
        <w:pStyle w:val="Heading1"/>
      </w:pPr>
      <w:r>
        <w:t xml:space="preserve">5. Deployment Model</w:t>
      </w:r>
    </w:p>
    <w:p>
      <w:pPr>
        <w:spacing w:after="120" w:line="300"/>
        <w:jc w:val="both"/>
      </w:pPr>
      <w:r>
        <w:t xml:space="preserve">ARHIAX is delivered as a containerized runtime deployable on AWS, Azure, GCP, on-premises Kubernetes, or air-gapped environments. The reference deployment includes the Agent Trust Kernel service, the OPA/Rego decision service, the D-TCG+ correlation pipeline, the AIM identity service, the EGA evidence service, and the Control Registry and MFCE meta-services. Sinergia provides reference Helm charts, Terraform modules, and integration playbooks for each major cloud platform.</w:t>
      </w:r>
    </w:p>
    <w:p>
      <w:pPr>
        <w:spacing w:after="120" w:line="300"/>
        <w:jc w:val="both"/>
      </w:pPr>
      <w:r>
        <w:t xml:space="preserve">Deployment timelines for a regulated enterprise deployment typically follow a four-phase pattern: assessment and gap analysis (4 to 6 weeks), pilot deployment in a single agent workflow (6 to 10 weeks), production rollout across the agent portfolio (10 to 16 weeks), and continuous compliance operations (ongoing). Sinergia offers white-glove deployment support and a partner program for system integrators.</w:t>
      </w:r>
    </w:p>
    <w:p>
      <w:pPr>
        <w:pStyle w:val="Heading1"/>
      </w:pPr>
      <w:r>
        <w:t xml:space="preserve">6. About Sinergia</w:t>
      </w:r>
    </w:p>
    <w:p>
      <w:pPr>
        <w:spacing w:after="120" w:line="300"/>
        <w:jc w:val="both"/>
      </w:pPr>
      <w:r>
        <w:t xml:space="preserve">Sinergia Consulting Group S.A.S. is an applied AI and governance consultancy headquartered in Barranquilla, Colombia, with registration in Bogotá. Sinergia builds and operates a portfolio of interconnected AI governance and consulting products including ARHIAX (this whitepaper), ARHIA-LP (semantic accessibility verification engine), SimLAB (causal marketing simulation platform), the Grant Intelligence Platform, and PORT-MAS (port logistics multi-agent system). Sinergia benchmarks all deliverables against McKinsey and Accenture quality standards and engages external expert auditors and peer reviewers for independent validation of technical and strategic artifacts.</w:t>
      </w:r>
    </w:p>
    <w:p>
      <w:pPr>
        <w:spacing w:after="120" w:line="300"/>
        <w:jc w:val="both"/>
      </w:pPr>
      <w:r>
        <w:t xml:space="preserve">For ARHIAX evaluation, deployment, or partnership inquiries, contact Sinergia Consulting Group S.A.S. via the channels published at sinergia.consulting.</w:t>
      </w:r>
    </w:p>
    <w:p>
      <w:pPr>
        <w:spacing w:after="120" w:line="300"/>
        <w:jc w:val="both"/>
      </w:pPr>
      <w:r>
        <w:t xml:space="preserve"/>
      </w:r>
    </w:p>
    <w:p>
      <w:pPr>
        <w:spacing w:after="120" w:line="300"/>
        <w:jc w:val="center"/>
      </w:pPr>
      <w:r>
        <w:rPr>
          <w:i/>
          <w:iCs/>
          <w:color w:val="595959"/>
        </w:rPr>
        <w:t xml:space="preserve">© 2026 Sinergia Consulting Group S.A.S. — ARHIAX is a trademark of Sinergia Consulting Group S.A.S.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595959"/>
        <w:sz w:val="16"/>
        <w:szCs w:val="16"/>
      </w:rPr>
      <w:t xml:space="preserve">ARHIAX-WP-2026-01  •  ARHIAX v11.4  •  CONFIDENTIAL</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b/>
        <w:bCs/>
        <w:color w:val="1F3864"/>
        <w:sz w:val="16"/>
        <w:szCs w:val="16"/>
      </w:rPr>
      <w:t xml:space="preserve">SINERGIA CONSULTING GROUP S.A.S.</w:t>
    </w:r>
    <w:r>
      <w:rPr>
        <w:color w:val="595959"/>
        <w:sz w:val="16"/>
        <w:szCs w:val="16"/>
      </w:rPr>
      <w:t xml:space="preserve">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3"/>
      <w:szCs w:val="23"/>
    </w:rPr>
  </w:style>
  <w:style w:type="paragraph" w:styleId="Heading4">
    <w:name w:val="Heading 4"/>
    <w:basedOn w:val="Normal"/>
    <w:next w:val="Normal"/>
    <w:qFormat/>
    <w:pPr>
      <w:spacing w:after="80" w:before="14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Whitepaper</dc:title>
  <dc:creator>Sinergia Consulting Group S.A.S.</dc:creator>
  <dc:description>ARHIAX v11.4 — Whitepaper</dc:description>
  <cp:lastModifiedBy>Un-named</cp:lastModifiedBy>
  <cp:revision>1</cp:revision>
  <dcterms:created xsi:type="dcterms:W3CDTF">2026-04-07T16:07:55.038Z</dcterms:created>
  <dcterms:modified xsi:type="dcterms:W3CDTF">2026-04-07T16:07:55.038Z</dcterms:modified>
</cp:coreProperties>
</file>

<file path=docProps/custom.xml><?xml version="1.0" encoding="utf-8"?>
<Properties xmlns="http://schemas.openxmlformats.org/officeDocument/2006/custom-properties" xmlns:vt="http://schemas.openxmlformats.org/officeDocument/2006/docPropsVTypes"/>
</file>