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SINERGIA CONSULTING GROUP S.A.S.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ARHIA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Agentic Runtime for Human-in-Architecture</w:t>
      </w:r>
    </w:p>
    <w:p>
      <w:pPr>
        <w:pBdr>
          <w:top w:val="single" w:color="2E75B6" w:sz="8" w:space="8"/>
          <w:bottom w:val="single" w:color="2E75B6" w:sz="8" w:space="8"/>
        </w:pBdr>
        <w:spacing w:after="400" w:before="4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EVOLUTION PLAN v11.3 → v11.4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24"/>
          <w:szCs w:val="24"/>
        </w:rPr>
        <w:t xml:space="preserve">Multi-Framework Alignment &amp; Auditable Governance Runtime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Reference: TR-2026-030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Classification: Sinergia Internal — Strategic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ARHIA v11.3 established the foundational three-plane architecture (Trust, Control, Execution) with the Agent Trust Kernel (ATK), OPA/Rego policy engine, Defensive Tool Call Graph (D-TCG), and AI Bill of Materials (AIBOM). The framework has been validated through vertical deployments in Brazilian financial services (ARHIA Brasil), port logistics (PORT-MAS), and biomedical surveillance (PHAGE-TX CARIBE).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However, the agentic AI governance landscape has undergone a fundamental transformation between January and April 2026. Nine major frameworks have emerged from governments, standards bodies, industry consortia, and consulting firms. This creates both a threat and an opportunity: organizations now have multiple governance references to choose from, but no single runtime that implements all of them.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ARHIA v11.4 is designed to close that gap. </w:t>
      </w:r>
      <w:r>
        <w:rPr>
          <w:rFonts w:ascii="Arial" w:cs="Arial" w:eastAsia="Arial" w:hAnsi="Arial"/>
          <w:sz w:val="22"/>
          <w:szCs w:val="22"/>
        </w:rPr>
        <w:t xml:space="preserve">The evolution transforms ARHIA from a standalone governance framework into the vendor-neutral runtime that operationalizes every major agentic AI governance standard. The positioning statement becomes: </w:t>
      </w:r>
      <w:r>
        <w:rPr>
          <w:rFonts w:ascii="Arial" w:cs="Arial" w:eastAsia="Arial" w:hAnsi="Arial"/>
          <w:i/>
          <w:iCs/>
          <w:color w:val="1B2A4A"/>
          <w:sz w:val="22"/>
          <w:szCs w:val="22"/>
        </w:rPr>
        <w:t xml:space="preserve">"ARISE defines what. NIST defines why. CSA ATF defines how much. ARHIA executes all three."</w:t>
      </w:r>
    </w:p>
    <w:p>
      <w:pPr>
        <w:pStyle w:val="Heading1"/>
      </w:pPr>
      <w:r>
        <w:t xml:space="preserve">2. Agentic AI Governance Landscape (April 2026)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table maps every significant framework identified in the competitive intelligence scan, organized by authority tier and relevance to ARHIA.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1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Contribution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ARHIA Articulation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Singapore MGF Agentic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4-dimension lifecycle governance; first government framework for agentic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 (IMDA)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existing crosswalk to MGF Agentic edition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NIST AI Agent Standards Initiative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3-pillar program: standards, open protocols, security research; SP 800-53 overlays for agent systems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 (NIST CAISI)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Align ATK controls to SP 800-53 agent overlays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NIST NCCoE Agent Identity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 and authorization standards for AI agents in 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 (NCCoE)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Agent Identity Module in ATK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OWASP Agentic Top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critical security risks for autonomous AI; peer-reviewed by 100+ experts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(OWASP)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crosswalk: each ASI risk → ARHIA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CSA Agentic Trust Framework (ATF)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Trust for agents; 5 elements, 4 maturity levels (Intern→Principal); open spec on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(CSA)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A0-A4 ↔ Intern-Principal harmonization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CSA AI Controls Matrix (AICM)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2025-26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243 controls for AI systems; CSO Award 2026; ATF operationalizes its agent subset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Industry (CSA)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ARHIA components to AICM control IDs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ARISE Framework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7-domain assurance model with auditable controls, evidence requirements, 4-question test per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Consulting (Assessed Intelligence)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Adopt control taxonomy + evidence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KPMG Trusted AI + TACO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Sep 2025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taxonomy: Taskers, Automators, Collaborators, Orchestrators; governance by agent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Consulting (KPMG)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TACO types to ARHIA autonomy levels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McKinsey AI Trust Maturity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5-dimension maturity model; new agentic AI governance dimension; benchmark for boards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Consulting (McKinsey)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A0-A4 as maturity accelerator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Strategic Positioning</w:t>
      </w:r>
    </w:p>
    <w:p>
      <w:pPr>
        <w:pStyle w:val="Heading2"/>
      </w:pPr>
      <w:r>
        <w:t xml:space="preserve">3.1 The Gap ARHIA Fills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landscape reveals a three-layer stack with a critical vacuum in the middle: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Exists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Provides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Layer 1: Governance Standards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Frameworks defining what controls should exist (ARISE, MGF, NIST, CSA ATF)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Governments, standards bodies, consulting firms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Layer 2: Executable Runtime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Vendor-neutral engine that enforces governance standards as executable policy at agent runtime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VACANT — ARHIA v11.4 targets this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Layer 3: Vendor Toolkits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Platform-specific safety tools (NVIDIA NeMo Guardrails, AWS AIRI, Azure Defender for AI)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hyperscalers, GPU vendors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ARHIA v11.4 is the only framework that simultaneously provides executable OPA/Rego policy, an agent trust kernel with runtime enforcement, and crosswalks against every major governance standard. This positions ARHIA as the translation layer between governance intent and runtime enforcement.</w:t>
      </w:r>
    </w:p>
    <w:p>
      <w:pPr>
        <w:pStyle w:val="Heading2"/>
      </w:pPr>
      <w:r>
        <w:t xml:space="preserve">3.2 Positioning Statement</w:t>
      </w:r>
    </w:p>
    <w:p>
      <w:pPr>
        <w:pBdr>
          <w:top w:val="single" w:color="2E75B6" w:sz="4" w:space="6"/>
          <w:bottom w:val="single" w:color="2E75B6" w:sz="4" w:space="6"/>
        </w:pBdr>
        <w:spacing w:after="200"/>
      </w:pPr>
      <w:r>
        <w:rPr>
          <w:rFonts w:ascii="Arial" w:cs="Arial" w:eastAsia="Arial" w:hAnsi="Arial"/>
          <w:b/>
          <w:bCs/>
          <w:i/>
          <w:iCs/>
          <w:color w:val="1B2A4A"/>
          <w:sz w:val="24"/>
          <w:szCs w:val="24"/>
        </w:rPr>
        <w:t xml:space="preserve">ARHIA v11.4: The vendor-neutral governance runtime that operationalizes ARISE, NIST, CSA ATF, OWASP Agentic Top 10, and Singapore MGF into executable policy-as-code for regulated agentic AI deployments.</w:t>
      </w:r>
    </w:p>
    <w:p>
      <w:r>
        <w:br w:type="page"/>
      </w:r>
    </w:p>
    <w:p>
      <w:pPr>
        <w:pStyle w:val="Heading1"/>
      </w:pPr>
      <w:r>
        <w:t xml:space="preserve">4. Evolution Axes: v11.3 → v11.4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evolution is organized into six axes, each derived from the landscape analysis. Axes 1-3 address structural gaps. Axes 4-6 address integration and positioning.</w:t>
      </w:r>
    </w:p>
    <w:p>
      <w:pPr>
        <w:pStyle w:val="Heading2"/>
      </w:pPr>
      <w:r>
        <w:t xml:space="preserve">4.1 Axis 1: Auditable Control Taxonomy (Inspired by ARISE)</w:t>
      </w:r>
    </w:p>
    <w:p>
      <w:pPr>
        <w:pStyle w:val="Heading3"/>
      </w:pPr>
      <w:r>
        <w:t xml:space="preserve">4.1.1 Gap Identified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ARISE demonstrates that every control must answer four questions: What is implemented? Who is responsible? What evidence is generated? How often is it validated? ARHIA v11.3 has powerful runtime components (ATK, D-TCG, HIC-1 to HIC-5, AIBOM) but does not formalize them as individually addressable, auditable controls with evidence requirements.</w:t>
      </w:r>
    </w:p>
    <w:p>
      <w:pPr>
        <w:pStyle w:val="Heading3"/>
      </w:pPr>
      <w:r>
        <w:t xml:space="preserve">4.1.2 Deliverable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formal ARHIA Control Registry with unique control identifiers (e.g., ATK-C01, DTG-C01, ABO-C01, HIC-C01 through HIC-C05) where each control specifies: (a) implementation description, (b) responsible role, (c) evidence artifact produced, (d) validation frequency, and (e) crosswalk IDs to ARISE domains, NIST controls, and CSA AICM control numbers.</w:t>
      </w:r>
    </w:p>
    <w:p>
      <w:pPr>
        <w:pStyle w:val="Heading3"/>
      </w:pPr>
      <w:r>
        <w:t xml:space="preserve">4.1.3 Estimated Control Count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Based on the current component inventory: ATK 5-check envelope (5 controls), D-TCG trajectory monitoring (4 controls), AIBOM lifecycle (3 controls), HIC checkpoints (5 controls), OPA/Rego policy enforcement (4 controls), autonomy scale A0-A4 transitions (5 gate controls), identity management (3 controls), and incident response (3 controls). Estimated total: 32-40 discrete auditable controls.</w:t>
      </w:r>
    </w:p>
    <w:p>
      <w:pPr>
        <w:pStyle w:val="Heading2"/>
      </w:pPr>
      <w:r>
        <w:t xml:space="preserve">4.2 Axis 2: Multi-Framework Crosswalk Matrix</w:t>
      </w:r>
    </w:p>
    <w:p>
      <w:pPr>
        <w:pStyle w:val="Heading3"/>
      </w:pPr>
      <w:r>
        <w:t xml:space="preserve">4.2.1 Gap Identified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ARHIA v11.3 crosswalks against OWASP LLM Top 10, CSA ATF, NIST AI RMF, and Singapore MGF (2020 edition). The landscape now includes 9 frameworks. A buyer evaluating ARHIA needs a single matrix showing how ARHIA addresses each control from each framework.</w:t>
      </w:r>
    </w:p>
    <w:p>
      <w:pPr>
        <w:pStyle w:val="Heading3"/>
      </w:pPr>
      <w:r>
        <w:t xml:space="preserve">4.2.2 Deliverable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master crosswalk matrix with ARHIA controls on the Y-axis and framework requirements on the X-axis, covering: ARISE 7 domains (GOVERN, MANAGE, IDENTIFY, PROTECT, DETECT, RESPOND, VALIDATE), CSA ATF 5 elements, OWASP Agentic Top 10 (ASI-01 through ASI-10), Singapore MGF 4 dimensions, NIST AI RMF functions, NIST CSF 2.0 functions, and CSA AICM control families.</w:t>
      </w:r>
    </w:p>
    <w:p>
      <w:pPr>
        <w:pStyle w:val="Heading3"/>
      </w:pPr>
      <w:r>
        <w:t xml:space="preserve">4.2.3 Design Principle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matrix must be machine-readable (JSON/YAML) in addition to human-readable (table). This enables automated compliance reporting: given a target framework, the system can generate a gap analysis showing which ARHIA controls satisfy which requirements.</w:t>
      </w:r>
    </w:p>
    <w:p>
      <w:pPr>
        <w:pStyle w:val="Heading2"/>
      </w:pPr>
      <w:r>
        <w:t xml:space="preserve">4.3 Axis 3: Cross-Domain Anomaly Correlation (Extending D-TCG)</w:t>
      </w:r>
    </w:p>
    <w:p>
      <w:pPr>
        <w:pStyle w:val="Heading3"/>
      </w:pPr>
      <w:r>
        <w:t xml:space="preserve">4.3.1 Gap Identified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ARISE formalizes cross-domain anomaly correlation as a specific control (D.AD): the ability to correlate network-layer anomalies with prompt-layer anomalies with data-access anomalies to detect coordinated attacks. ARHIA v11.3 has D-TCG for tool call trajectory monitoring but does not formalize cross-domain correlation.</w:t>
      </w:r>
    </w:p>
    <w:p>
      <w:pPr>
        <w:pStyle w:val="Heading3"/>
      </w:pPr>
      <w:r>
        <w:t xml:space="preserve">4.3.2 Deliverable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Extension of D-TCG into D-TCG+ with three new capabilities: (a) Cross-Domain Correlation Engine that ingests telemetry from network, prompt, tool-call, and data-access layers and correlates anomalies across temporal windows; (b) Behavioral Baseline Registry that stores per-agent behavioral profiles as the ground truth for deviation detection; (c) Incident Playbook Mapper that auto-triggers specific playbooks when correlated anomaly patterns match known attack signatures (aligned with OWASP ASI-01 through ASI-10).</w:t>
      </w:r>
    </w:p>
    <w:p>
      <w:pPr>
        <w:pStyle w:val="Heading2"/>
      </w:pPr>
      <w:r>
        <w:t xml:space="preserve">4.4 Axis 4: Maturity Model Harmonization</w:t>
      </w:r>
    </w:p>
    <w:p>
      <w:pPr>
        <w:pStyle w:val="Heading3"/>
      </w:pPr>
      <w:r>
        <w:t xml:space="preserve">4.4.1 Gap Identified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Three independent maturity models now exist in the landscape: ARHIA A0-A4 (5 levels), CSA ATF Intern-Associate-Senior-Principal (4 levels), and NVIDIA Agentic Autonomy L0-L3 (4 levels). A buyer using CSA ATF or NVIDIA tooling needs to know exactly how ARHIA levels map to theirs.</w:t>
      </w:r>
    </w:p>
    <w:p>
      <w:pPr>
        <w:pStyle w:val="Heading3"/>
      </w:pPr>
      <w:r>
        <w:t xml:space="preserve">4.4.2 Deliverable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unified maturity mapping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ARHIA Level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CSA ATF Level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NVIDIA Autonomy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KPMG TACO Agent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A0 — Inert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(Pre-Intern)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L0 — No Autonomy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A1 — Supervised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 (Read-only)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L1 — Single LLM + tools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A2 — Guided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Associate (Guided action)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L2 — Router/orchestrator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A3 — Autonomous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(Independent action)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L3 — Full autonomy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Collaborator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A4 — Adaptive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Principal (Strategic action)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(Beyond L3)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Orchestrator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level transition in ARHIA will specify the equivalent promotion gates from CSA ATF (performance, security audit, business impact, clean history, governance sign-off), creating a unified promotion protocol.</w:t>
      </w:r>
    </w:p>
    <w:p>
      <w:pPr>
        <w:pStyle w:val="Heading2"/>
      </w:pPr>
      <w:r>
        <w:t xml:space="preserve">4.5 Axis 5: Agent Identity Module (Aligned with NCCoE)</w:t>
      </w:r>
    </w:p>
    <w:p>
      <w:pPr>
        <w:pStyle w:val="Heading3"/>
      </w:pPr>
      <w:r>
        <w:t xml:space="preserve">4.5.1 Gap Identified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NIST NCCoE is developing identity and authorization standards for AI agents. CSA ATF makes agent identity its first security element. OWASP ASI-03 (Excessive Permissions) centers on identity governance. ARHIA v11.3 assigns internal identities through ATK but does not define a federated identity model compatible with enterprise IAM infrastructure.</w:t>
      </w:r>
    </w:p>
    <w:p>
      <w:pPr>
        <w:pStyle w:val="Heading3"/>
      </w:pPr>
      <w:r>
        <w:t xml:space="preserve">4.5.2 Deliverable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new Agent Identity Module (AIM) within ATK that specifies: (a) Agent credential format compatible with OAuth 2.0 / SAML adapted for Non-Human Identities (NHI); (b) Agent identity lifecycle (creation, rotation, revocation, retirement) aligned with AIBOM; (c) Composite identity linking (agent ↔ supervising human ↔ department) as recommended by CSA ATF; (d) Least-privilege enforcement at the identity layer with runtime scope reduction.</w:t>
      </w:r>
    </w:p>
    <w:p>
      <w:pPr>
        <w:pStyle w:val="Heading2"/>
      </w:pPr>
      <w:r>
        <w:t xml:space="preserve">4.6 Axis 6: Evidence Generation Architecture (Inspired by ARISE)</w:t>
      </w:r>
    </w:p>
    <w:p>
      <w:pPr>
        <w:pStyle w:val="Heading3"/>
      </w:pPr>
      <w:r>
        <w:t xml:space="preserve">4.6.1 Gap Identified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ARISE distinguishes between having governance documentation and generating governance evidence. ARHIA v11.3 has an immutable HMAC ledger for audit trails but does not formalize evidence generation as a first-class architectural concern with specific evidence types per control.</w:t>
      </w:r>
    </w:p>
    <w:p>
      <w:pPr>
        <w:pStyle w:val="Heading3"/>
      </w:pPr>
      <w:r>
        <w:t xml:space="preserve">4.6.2 Deliverable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 Evidence Generation Architecture (EGA) that specifies, for each of the 32-40 controls in the registry: (a) evidence type (log, attestation, metric, approval record, test result), (b) evidence format (JSON-LD structured evidence), (c) retention policy (aligned with ALRI concept from Pandey framework), (d) chain of custody (HMAC-linked evidence chains), and (e) automated evidence collection mechanisms.</w:t>
      </w:r>
    </w:p>
    <w:p>
      <w:r>
        <w:br w:type="page"/>
      </w:r>
    </w:p>
    <w:p>
      <w:pPr>
        <w:pStyle w:val="Heading1"/>
      </w:pPr>
      <w:r>
        <w:t xml:space="preserve">5. Phased Execution Plan</w:t>
      </w:r>
    </w:p>
    <w:p>
      <w:pPr>
        <w:pStyle w:val="Heading2"/>
      </w:pPr>
      <w:r>
        <w:t xml:space="preserve">5.1 Phase 1: Foundation (Weeks 1-2)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Objective: Establish the structural scaffolding that all other axes depend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1630"/>
        <w:gridCol w:w="163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 all ARHIA v11.3 components and map to discrete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v11.3 spec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Registry Draft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evidence types and formats for each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6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Registry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EGA Spec Draft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maturity harmonization table (A0-A4 / ATF / NVIDIA / TACO)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4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CSA ATF spec, NVIDIA paper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Maturity Map 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Agent Identity Module (AIM) requirements and NHI credential spec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5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NCCoE concept paper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AIM Spec Draft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Phase 2: Crosswalk Construction (Weeks 3-4)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Objective: Build the multi-framework crosswalk matrix that becomes the primary GTM artifact.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1630"/>
        <w:gridCol w:w="163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ARHIA ↔ ARISE 7-domain crosswalk (GOVERN, MANAGE, IDENTIFY, PROTECT, DETECT, RESPOND, VALIDATE)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ARISE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(7 domains)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Crosswalk Sheet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ARHIA ↔ OWASP Agentic Top 10 crosswalk (ASI-01 to ASI-10)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ASI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(10 risks)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Crosswalk Sheet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ARHIA ↔ CSA ATF 5-element crosswalk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CSA ATF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(5 elements)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Crosswalk Sheet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ARHIA ↔ Singapore MGF Agentic 4-dimension crosswalk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MGF Agentic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(4 dims)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Crosswalk Sheet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ARHIA ↔ NIST AI RMF + CSF 2.0 crosswalk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(dual)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Crosswalk Sheet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Consolidate all sheets into Master Crosswalk Matrix (JSON + table)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Matrix v1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Phase 3: Technical Extension (Weeks 5-6)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Objective: Build the new technical capabilities that close gaps identified in the landscape scan.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000"/>
        <w:gridCol w:w="1630"/>
        <w:gridCol w:w="163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Axis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 D-TCG+ Cross-Domain Correlation Engine 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3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Registry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D-TCG+ Spec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Behavioral Baseline Registry schema and deviation metrics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3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D-TCG+ Spec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BBR Schema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OWASP ASI attack patterns to Incident Playbook templates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3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Crosswalk Sheet 2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Playbook Templates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new OPA/Rego policy bundles for AIM, D-TCG+, and EGA controls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5, 6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AIM Spec, EGA Spec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Policy Bundles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T-MAP D-TCG with D-TCG+ cross-domain extensions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3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D-TCG+ Spec</w:t>
            </w:r>
          </w:p>
        </w:tc>
        <w:tc>
          <w:tcPr>
            <w:tcW w:type="dxa" w:w="1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Unified D-TCG+ v2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5.4 Phase 4: Integration &amp; Documentation (Weeks 7-8)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Objective: Produce the consolidated ARHIA v11.4 specification and supporting materials.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0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ARHIA v11.4 Master Specification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DOCX (McKinsey-grade)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 + Executive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ARHIA Control Registry (machine-readable)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+ XLSX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Auditors, Implementers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Master Crosswalk 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+ XLSX + DOCX annex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Compliance, Sales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OPA/Rego Policy Bundle v2 (expanded for AIM, D-TCG+, EGA)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.rego 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Changelog v11.3 → v11.4 (formal)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DOCX annex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stakeholders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GTM One-Pager: "Why ARHIA v11.4"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Adriana / Deloitte, Prospects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ICAIF 2026 Paper Supplement (updated for v11.4 crosswalks)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LaTeX / PDF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Academic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Architecture Delta: v11.3 → v11.4</w:t>
      </w:r>
    </w:p>
    <w:p>
      <w:pPr>
        <w:pStyle w:val="Heading2"/>
      </w:pPr>
      <w:r>
        <w:t xml:space="preserve">6.1 New Components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components are net-new in v11.4: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80"/>
        <w:gridCol w:w="2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Inspired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Control Registry (CR)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Plane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Formal catalog of all auditable controls with evidence requirements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ARISE 4-question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Agent Identity Module (AIM)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Plane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NHI-compatible identity, lifecycle, composite linking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NCCoE, CSA ATF Element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D-TCG+ Cross-Domain Correlator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Multi-layer anomaly correlation (network + prompt + data + tool)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ARISE D.AD, OWASP ASI-08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Behavioral Baseline Registry (BBR)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Per-agent behavioral profiles for deviation detection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CSA ATF Element 2, NVIDIA Autonomy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Evidence Generation Architecture (EGA)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Plane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evidence production with JSON-LD format and HMAC chains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ARISE operationalization 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Multi-Framework Crosswalk Engine (MFCE)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Plane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Machine-readable crosswalk matrix with automated gap analysis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Landscape competitive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Incident Playbook Mapper (IPM)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ASI-aligned playbooks triggered by D-TCG+ correlation patterns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ASI, ARISE RESPOND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Enhanced Components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following existing v11.3 components are extended: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v11.3 State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v11.4 Enhancement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ATK (Agent Trust Kernel)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5-check envelope, 6 outcomes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AIM integration, + CR control IDs per check, + EGA evidence 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D-TCG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 call trajectory monitoring, zero-trust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Evolves to D-TCG+ with cross-domain correlation and BBR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OPA/Rego Engine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~1,277 lines across 13 bundles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AIM policies, + EGA evidence policies, + D-TCG+ correlation rules; est. 1,800+ 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AIBOM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Bill of Materials for agent lifecycle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AIM identity fields, + CR control mapping, + retirement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A0-A4 Autonomy Scale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5-level adaptive autonomy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ATF/NVIDIA/TACO harmonization, + 5-gate promotion protocol from CSA ATF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HMAC Ledger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audit trail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JSON-LD structured evidence format, + chain of custody for EGA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Risks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NIST SP 800-53 agent overlays not yet published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Crosswalk may need revision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against COSAiS outline; version crosswalk as "provisional"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CSA ATF spec is v1.0 and may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Maturity mapping may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 to ATF v1.0; document delta policy for future versions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Scope creep across 6 axes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Delay in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Phases are sequential gates; Phase 2 cannot start without Phase 1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ARISE is proprietary/licensed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reproduce ARISE control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Crosswalk references ARISE domain names only (public); no content reproduction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 moves faster than documentation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frameworks emerge during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MFCE designed as extensible; new frameworks added as crosswalk sheets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Success Metrics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ARHIA v11.4 will be considered successfully delivered when: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 of discrete auditable controls in registry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32 controls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Frameworks crosswalked in Master Matrix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7 frameworks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OPA/Rego policy lines (total across all bundles)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1,800 lines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ASI risks with mapped incident playbooks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10/10 (100%)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Evidence types formally specified per control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100% of controls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Maturity models harmonized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 (ATF, NVIDIA, TACO)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Machine-readable crosswalk formats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+ YAML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Immediate Next Steps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Upon approval of this evolution plan: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Execute Phase 1 (Weeks 1-2) beginning with the ARHIA Control Registry construction. This is the foundational artifact that all other axes depend 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Fetch and analyze the full CSA ATF specification from GitHub (github.com/massivescale-ai/agentic-trust-framework) to ensure precise harmonization.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Fetch the Singapore MGF Agentic AI PDF from IMDA to extract exact control language for crosswalk Sheet 4.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Begin OWASP ASI crosswalk (Sheet 2) in parallel, as this is the highest-value GTM artifact for the security buyer persona.</w:t>
      </w:r>
    </w:p>
    <w:p>
      <w:pPr>
        <w:spacing w:after="200"/>
      </w:pPr>
    </w:p>
    <w:p>
      <w:pPr>
        <w:pBdr>
          <w:top w:val="single" w:color="1B2A4A" w:sz="4" w:space="6"/>
          <w:bottom w:val="single" w:color="1B2A4A" w:sz="4" w:space="6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 — TR-2026-030 — ARHIA v11.4 Evolution Plan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Sinergia Consulting Group S.A.S. —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ARHIA v11.4 Evolution Plan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	TR-2026-030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2026-04-03T21:31:43.798Z</dcterms:created>
  <dcterms:modified xsi:type="dcterms:W3CDTF">2026-04-03T21:31:43.799Z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