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80"/>
        <w:jc w:val="center"/>
      </w:pPr>
      <w:r>
        <w:rPr>
          <w:rFonts w:ascii="Arial" w:cs="Arial" w:eastAsia="Arial" w:hAnsi="Arial"/>
          <w:b/>
          <w:bCs/>
          <w:color w:val="666666"/>
          <w:sz w:val="20"/>
          <w:szCs w:val="20"/>
        </w:rPr>
        <w:t xml:space="preserve">SINERGIA CONSULTING GROUP S.A.S.</w:t>
      </w:r>
    </w:p>
    <w:p>
      <w:pPr>
        <w:spacing w:after="40"/>
        <w:jc w:val="center"/>
      </w:pPr>
      <w:r>
        <w:rPr>
          <w:rFonts w:ascii="Arial" w:cs="Arial" w:eastAsia="Arial" w:hAnsi="Arial"/>
          <w:b/>
          <w:bCs/>
          <w:color w:val="1B2A4A"/>
          <w:sz w:val="80"/>
          <w:szCs w:val="80"/>
        </w:rPr>
        <w:t xml:space="preserve">ARHIA</w:t>
      </w:r>
    </w:p>
    <w:p>
      <w:pPr>
        <w:spacing w:after="40"/>
        <w:jc w:val="center"/>
      </w:pPr>
      <w:r>
        <w:rPr>
          <w:rFonts w:ascii="Arial" w:cs="Arial" w:eastAsia="Arial" w:hAnsi="Arial"/>
          <w:color w:val="2E75B6"/>
          <w:sz w:val="22"/>
          <w:szCs w:val="22"/>
        </w:rPr>
        <w:t xml:space="preserve">Agentic Runtime for Human-in-Architecture</w:t>
      </w:r>
    </w:p>
    <w:p>
      <w:pPr>
        <w:pBdr>
          <w:top w:val="single" w:color="2E75B6" w:sz="8" w:space="10"/>
          <w:bottom w:val="single" w:color="2E75B6" w:sz="8" w:space="10"/>
        </w:pBdr>
        <w:spacing w:after="300" w:before="300"/>
        <w:jc w:val="center"/>
      </w:pPr>
      <w:r>
        <w:rPr>
          <w:rFonts w:ascii="Arial" w:cs="Arial" w:eastAsia="Arial" w:hAnsi="Arial"/>
          <w:b/>
          <w:bCs/>
          <w:color w:val="1B2A4A"/>
          <w:sz w:val="40"/>
          <w:szCs w:val="40"/>
        </w:rPr>
        <w:t xml:space="preserve">VERSION 11.4 — MASTER SPECIFICATION</w:t>
      </w:r>
    </w:p>
    <w:p>
      <w:pPr>
        <w:spacing w:after="60"/>
        <w:jc w:val="center"/>
      </w:pPr>
      <w:r>
        <w:rPr>
          <w:rFonts w:ascii="Arial" w:cs="Arial" w:eastAsia="Arial" w:hAnsi="Arial"/>
          <w:i/>
          <w:iCs/>
          <w:color w:val="4472C4"/>
          <w:sz w:val="22"/>
          <w:szCs w:val="22"/>
        </w:rPr>
        <w:t xml:space="preserve">The Vendor-Neutral Governance Runtime for Regulated Agentic AI</w:t>
      </w:r>
    </w:p>
    <w:p>
      <w:pPr>
        <w:spacing w:after="40" w:before="500"/>
        <w:jc w:val="center"/>
      </w:pPr>
      <w:r>
        <w:rPr>
          <w:rFonts w:ascii="Arial" w:cs="Arial" w:eastAsia="Arial" w:hAnsi="Arial"/>
          <w:color w:val="666666"/>
          <w:sz w:val="18"/>
          <w:szCs w:val="18"/>
        </w:rPr>
        <w:t xml:space="preserve">TR-2026-034</w:t>
      </w:r>
    </w:p>
    <w:p>
      <w:pPr>
        <w:spacing w:after="40"/>
        <w:jc w:val="center"/>
      </w:pPr>
      <w:r>
        <w:rPr>
          <w:rFonts w:ascii="Arial" w:cs="Arial" w:eastAsia="Arial" w:hAnsi="Arial"/>
          <w:color w:val="666666"/>
          <w:sz w:val="15"/>
          <w:szCs w:val="15"/>
        </w:rPr>
        <w:t xml:space="preserve">Consolidates: TR-2026-030 (Plan) | TR-2026-031 (Phase 1) | TR-2026-032 (Phase 2) | TR-2026-033 (Phase 3)</w:t>
      </w:r>
    </w:p>
    <w:p>
      <w:pPr>
        <w:jc w:val="center"/>
      </w:pPr>
      <w:r>
        <w:rPr>
          <w:rFonts w:ascii="Arial" w:cs="Arial" w:eastAsia="Arial" w:hAnsi="Arial"/>
          <w:color w:val="666666"/>
          <w:sz w:val="18"/>
          <w:szCs w:val="18"/>
        </w:rPr>
        <w:t xml:space="preserve">April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10" w:line="270"/>
      </w:pPr>
      <w:r>
        <w:rPr>
          <w:rFonts w:ascii="Arial" w:cs="Arial" w:eastAsia="Arial" w:hAnsi="Arial"/>
          <w:sz w:val="20"/>
          <w:szCs w:val="20"/>
        </w:rPr>
        <w:t xml:space="preserve">ARHIA v11.4 represents the most significant architectural evolution since the framework’s inception. Driven by a comprehensive competitive intelligence scan of the agentic AI governance landscape, v11.4 transforms ARHIA from a standalone governance framework into the vendor-neutral runtime that operationalizes every major governance standard published between December 2025 and April 2026.</w:t>
      </w:r>
    </w:p>
    <w:p>
      <w:pPr>
        <w:pStyle w:val="Heading2"/>
      </w:pPr>
      <w:r>
        <w:t xml:space="preserve">1.1 What Changed</w:t>
      </w:r>
    </w:p>
    <w:p>
      <w:pPr>
        <w:spacing w:after="110" w:line="270"/>
      </w:pPr>
      <w:r>
        <w:rPr>
          <w:rFonts w:ascii="Arial" w:cs="Arial" w:eastAsia="Arial" w:hAnsi="Arial"/>
          <w:b/>
          <w:bCs/>
          <w:sz w:val="20"/>
          <w:szCs w:val="20"/>
        </w:rPr>
        <w:t xml:space="preserve">From: </w:t>
      </w:r>
      <w:r>
        <w:rPr>
          <w:rFonts w:ascii="Arial" w:cs="Arial" w:eastAsia="Arial" w:hAnsi="Arial"/>
          <w:sz w:val="20"/>
          <w:szCs w:val="20"/>
        </w:rPr>
        <w:t xml:space="preserve">ARHIA v11.3 — A three-plane governance architecture (Trust, Control, Execution) with ATK, D-TCG, OPA/Rego engine, AIBOM, and five Human-in-Architecture checkpoints. Crosswalks against OWASP LLM Top 10, CSA ATF (v1), NIST AI RMF, and Singapore MGF (2020).</w:t>
      </w:r>
    </w:p>
    <w:p>
      <w:pPr>
        <w:spacing w:after="110" w:line="270"/>
      </w:pPr>
      <w:r>
        <w:rPr>
          <w:rFonts w:ascii="Arial" w:cs="Arial" w:eastAsia="Arial" w:hAnsi="Arial"/>
          <w:b/>
          <w:bCs/>
          <w:sz w:val="20"/>
          <w:szCs w:val="20"/>
        </w:rPr>
        <w:t xml:space="preserve">To: </w:t>
      </w:r>
      <w:r>
        <w:rPr>
          <w:rFonts w:ascii="Arial" w:cs="Arial" w:eastAsia="Arial" w:hAnsi="Arial"/>
          <w:sz w:val="20"/>
          <w:szCs w:val="20"/>
        </w:rPr>
        <w:t xml:space="preserve">ARHIA v11.4 — The same three-plane architecture, now extended with 7 new components (AIM, D-TCG+ Correlator, BBR, EGA, MFCE, IPM, Control Registry), 15 new auditable controls (36 total), 6 new OPA/Rego bundles (~2,037 total lines), 10 OWASP ASI incident playbooks, full crosswalks against 5 major frameworks (ARISE, OWASP Agentic Top 10, CSA ATF, Singapore MGF Agentic, NIST AI RMF + CSF 2.0), and a unified maturity model harmonizing 6 industry scales.</w:t>
      </w:r>
    </w:p>
    <w:p>
      <w:pPr>
        <w:pStyle w:val="Heading2"/>
      </w:pPr>
      <w:r>
        <w:t xml:space="preserve">1.2 Why It Matters</w:t>
      </w:r>
    </w:p>
    <w:p>
      <w:pPr>
        <w:spacing w:after="110" w:line="270"/>
      </w:pPr>
      <w:r>
        <w:rPr>
          <w:rFonts w:ascii="Arial" w:cs="Arial" w:eastAsia="Arial" w:hAnsi="Arial"/>
          <w:sz w:val="20"/>
          <w:szCs w:val="20"/>
        </w:rPr>
        <w:t xml:space="preserve">The agentic AI governance landscape fractured in Q1 2026. Nine frameworks emerged from governments (Singapore IMDA, NIST), standards bodies (CSA, OWASP), and consulting firms (Assessed Intelligence/ARISE, KPMG, McKinsey). Each defines what governance should look like. None provides an executable runtime. ARHIA v11.4 fills that vacuum as the only framework that simultaneously provides policy-as-code (OPA/Rego), runtime enforcement (ATK), behavioral monitoring (D-TCG+), agent identity management (AIM), and auditable evidence generation (EGA) — all mapped to every major standard.</w:t>
      </w:r>
    </w:p>
    <w:p>
      <w:pPr>
        <w:pStyle w:val="Heading2"/>
      </w:pPr>
      <w:r>
        <w:t xml:space="preserve">1.3 Positioning Statement</w:t>
      </w:r>
    </w:p>
    <w:p>
      <w:pPr>
        <w:pBdr>
          <w:top w:val="single" w:color="2E75B6" w:sz="4" w:space="6"/>
          <w:bottom w:val="single" w:color="2E75B6" w:sz="4" w:space="6"/>
        </w:pBdr>
        <w:spacing w:after="200"/>
      </w:pPr>
      <w:r>
        <w:rPr>
          <w:rFonts w:ascii="Arial" w:cs="Arial" w:eastAsia="Arial" w:hAnsi="Arial"/>
          <w:b/>
          <w:bCs/>
          <w:i/>
          <w:iCs/>
          <w:color w:val="1B2A4A"/>
          <w:sz w:val="22"/>
          <w:szCs w:val="22"/>
        </w:rPr>
        <w:t xml:space="preserve">ARHIA v11.4: The vendor-neutral governance runtime that operationalizes ARISE, NIST, CSA ATF, OWASP Agentic Top 10, and Singapore MGF into executable policy-as-code for regulated agentic AI deployments. ARISE defines what. NIST defines why. CSA ATF defines how much. ARHIA executes all three.</w:t>
      </w:r>
    </w:p>
    <w:p>
      <w:r>
        <w:br w:type="page"/>
      </w:r>
    </w:p>
    <w:p>
      <w:pPr>
        <w:pStyle w:val="Heading1"/>
      </w:pPr>
      <w:r>
        <w:t xml:space="preserve">2. Architecture Overview</w:t>
      </w:r>
    </w:p>
    <w:p>
      <w:pPr>
        <w:pStyle w:val="Heading2"/>
      </w:pPr>
      <w:r>
        <w:t xml:space="preserve">2.1 Three-Plane Architecture (Unchanged)</w:t>
      </w:r>
    </w:p>
    <w:p>
      <w:pPr>
        <w:spacing w:after="110" w:line="270"/>
      </w:pPr>
      <w:r>
        <w:rPr>
          <w:rFonts w:ascii="Arial" w:cs="Arial" w:eastAsia="Arial" w:hAnsi="Arial"/>
          <w:sz w:val="20"/>
          <w:szCs w:val="20"/>
        </w:rPr>
        <w:t xml:space="preserve">ARHIA retains its foundational three-plane architecture from v11.3: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Plane</w:t>
            </w:r>
          </w:p>
        </w:tc>
        <w:tc>
          <w:tcPr>
            <w:tcW w:type="dxa" w:w="36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Purpose</w:t>
            </w:r>
          </w:p>
        </w:tc>
        <w:tc>
          <w:tcPr>
            <w:tcW w:type="dxa" w:w="36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Components</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1B2A4A"/>
                <w:sz w:val="16"/>
                <w:szCs w:val="16"/>
              </w:rPr>
              <w:t xml:space="preserve">Trust Plane</w:t>
            </w:r>
          </w:p>
        </w:tc>
        <w:tc>
          <w:tcPr>
            <w:tcW w:type="dxa" w:w="3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Policy definition, identity management, evidence assurance, governance oversight</w:t>
            </w:r>
          </w:p>
        </w:tc>
        <w:tc>
          <w:tcPr>
            <w:tcW w:type="dxa" w:w="3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ATK, AIM (NEW), ABO, HIC, AUT, EGA (NEW), CR (NEW), MFCE (NEW)</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5B6"/>
                <w:sz w:val="16"/>
                <w:szCs w:val="16"/>
              </w:rPr>
              <w:t xml:space="preserve">Control Plane</w:t>
            </w:r>
          </w:p>
        </w:tc>
        <w:tc>
          <w:tcPr>
            <w:tcW w:type="dxa" w:w="3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Runtime enforcement, monitoring, anomaly detection, incident response</w:t>
            </w:r>
          </w:p>
        </w:tc>
        <w:tc>
          <w:tcPr>
            <w:tcW w:type="dxa" w:w="3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OPA/Rego Engine, D-TCG+ (EXTENDED), BBR (NEW), IPM (NEW)</w:t>
            </w:r>
          </w:p>
        </w:tc>
      </w:tr>
      <w:tr>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4472C4"/>
                <w:sz w:val="16"/>
                <w:szCs w:val="16"/>
              </w:rPr>
              <w:t xml:space="preserve">Execution Plane</w:t>
            </w:r>
          </w:p>
        </w:tc>
        <w:tc>
          <w:tcPr>
            <w:tcW w:type="dxa" w:w="3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Agent runtime, tool invocation, data access, inter-agent communication</w:t>
            </w:r>
          </w:p>
        </w:tc>
        <w:tc>
          <w:tcPr>
            <w:tcW w:type="dxa" w:w="3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Agent containers, tool APIs, data connectors (deployment-specific)</w:t>
            </w:r>
          </w:p>
        </w:tc>
      </w:tr>
    </w:tbl>
    <w:p>
      <w:pPr>
        <w:spacing w:after="140"/>
      </w:pPr>
    </w:p>
    <w:p>
      <w:pPr>
        <w:pStyle w:val="Heading2"/>
      </w:pPr>
      <w:r>
        <w:t xml:space="preserve">2.2 Component Inventory</w:t>
      </w:r>
    </w:p>
    <w:p>
      <w:pPr>
        <w:spacing w:after="110" w:line="270"/>
      </w:pPr>
      <w:r>
        <w:rPr>
          <w:rFonts w:ascii="Arial" w:cs="Arial" w:eastAsia="Arial" w:hAnsi="Arial"/>
          <w:sz w:val="20"/>
          <w:szCs w:val="20"/>
        </w:rPr>
        <w:t xml:space="preserve">ARHIA v11.4 contains 14 components across the Trust and Control planes: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200"/>
        <w:gridCol w:w="2680"/>
        <w:gridCol w:w="2480"/>
      </w:tblGrid>
      <w:tr>
        <w:tc>
          <w:tcPr>
            <w:tcW w:type="dxa" w:w="7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w:t>
            </w:r>
          </w:p>
        </w:tc>
        <w:tc>
          <w:tcPr>
            <w:tcW w:type="dxa" w:w="22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Component</w:t>
            </w:r>
          </w:p>
        </w:tc>
        <w:tc>
          <w:tcPr>
            <w:tcW w:type="dxa" w:w="12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Plane</w:t>
            </w:r>
          </w:p>
        </w:tc>
        <w:tc>
          <w:tcPr>
            <w:tcW w:type="dxa" w:w="26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Status</w:t>
            </w:r>
          </w:p>
        </w:tc>
        <w:tc>
          <w:tcPr>
            <w:tcW w:type="dxa" w:w="24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Controls</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1</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Agent Trust Kernel (ATK)</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Trust</w:t>
            </w:r>
          </w:p>
        </w:tc>
        <w:tc>
          <w:tcPr>
            <w:tcW w:type="dxa" w:w="2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Enhanced (AIM hooks, EGA hooks)</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ATK-C01 to C07 (7)</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2</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Agent Identity Module (AIM)</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Trust</w:t>
            </w:r>
          </w:p>
        </w:tc>
        <w:tc>
          <w:tcPr>
            <w:tcW w:type="dxa" w:w="2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NEW in v11.4</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AIM-C01 to C03 (3)</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3</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AI Bill of Materials (AIBOM)</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Trust</w:t>
            </w:r>
          </w:p>
        </w:tc>
        <w:tc>
          <w:tcPr>
            <w:tcW w:type="dxa" w:w="2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Enhanced (AIM fields)</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ABO-C01 to C03 (3)</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4</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Human-in-Architecture (HIC)</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Trust</w:t>
            </w:r>
          </w:p>
        </w:tc>
        <w:tc>
          <w:tcPr>
            <w:tcW w:type="dxa" w:w="2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Unchanged from v11.3</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HIC-C01 to C05 (5)</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5</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Autonomy Scale (AUT)</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Trust</w:t>
            </w:r>
          </w:p>
        </w:tc>
        <w:tc>
          <w:tcPr>
            <w:tcW w:type="dxa" w:w="2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Enhanced (5-gate protocol)</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AUT-C01 to C05 (5)</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6</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Evidence Gen. Arch. (EGA)</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Trust</w:t>
            </w:r>
          </w:p>
        </w:tc>
        <w:tc>
          <w:tcPr>
            <w:tcW w:type="dxa" w:w="2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NEW in v11.4</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EGA-C01 to C04 (4)</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7</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Control Registry (CR)</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Trust</w:t>
            </w:r>
          </w:p>
        </w:tc>
        <w:tc>
          <w:tcPr>
            <w:tcW w:type="dxa" w:w="2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NEW in v11.4</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Meta-component (catalogs all 36)</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8</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Multi-Framework Crosswalk (MFCE)</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Trust</w:t>
            </w:r>
          </w:p>
        </w:tc>
        <w:tc>
          <w:tcPr>
            <w:tcW w:type="dxa" w:w="2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NEW in v11.4</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5 framework crosswalks</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9</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OPA/Rego Policy Engine</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Control</w:t>
            </w:r>
          </w:p>
        </w:tc>
        <w:tc>
          <w:tcPr>
            <w:tcW w:type="dxa" w:w="2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Enhanced (19 bundles, ~2,037 lines)</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OPA-C01 to C04 (4)</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10</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D-TCG+ v2</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Control</w:t>
            </w:r>
          </w:p>
        </w:tc>
        <w:tc>
          <w:tcPr>
            <w:tcW w:type="dxa" w:w="2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Major extension from D-TCG v1</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DTG-C01 to C05 (5)</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11</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Behavioral Baseline Reg. (BBR)</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Control</w:t>
            </w:r>
          </w:p>
        </w:tc>
        <w:tc>
          <w:tcPr>
            <w:tcW w:type="dxa" w:w="2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NEW in v11.4</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Part of DTG-C02, DTG-C05</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12</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Incident Playbook Mapper (IPM)</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Control</w:t>
            </w:r>
          </w:p>
        </w:tc>
        <w:tc>
          <w:tcPr>
            <w:tcW w:type="dxa" w:w="2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NEW in v11.4</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Part of DTG-C04 (10 playbooks)</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13</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Cross-Domain Correlator</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Control</w:t>
            </w:r>
          </w:p>
        </w:tc>
        <w:tc>
          <w:tcPr>
            <w:tcW w:type="dxa" w:w="2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NEW in v11.4</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Part of DTG-C03 (10 rules)</w:t>
            </w:r>
          </w:p>
        </w:tc>
      </w:tr>
      <w:tr>
        <w:tc>
          <w:tcPr>
            <w:tcW w:type="dxa" w:w="7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14</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HMAC Ledger</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Trust</w:t>
            </w:r>
          </w:p>
        </w:tc>
        <w:tc>
          <w:tcPr>
            <w:tcW w:type="dxa" w:w="26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Enhanced (JSON-LD evidence)</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Part of EGA-C03</w:t>
            </w:r>
          </w:p>
        </w:tc>
      </w:tr>
    </w:tbl>
    <w:p>
      <w:r>
        <w:br w:type="page"/>
      </w:r>
    </w:p>
    <w:p>
      <w:pPr>
        <w:pStyle w:val="Heading1"/>
      </w:pPr>
      <w:r>
        <w:t xml:space="preserve">3. Control Registry Summary</w:t>
      </w:r>
    </w:p>
    <w:p>
      <w:pPr>
        <w:spacing w:after="110" w:line="270"/>
      </w:pPr>
      <w:r>
        <w:rPr>
          <w:rFonts w:ascii="Arial" w:cs="Arial" w:eastAsia="Arial" w:hAnsi="Arial"/>
          <w:sz w:val="20"/>
          <w:szCs w:val="20"/>
        </w:rPr>
        <w:t xml:space="preserve">ARHIA v11.4 defines 36 auditable controls across 8 subsystems. Each control answers the ARISE 4-question model: What is implemented? Who is responsible? What evidence is generated? How often is it validated? The complete registry is documented in TR-2026-031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2380"/>
        <w:gridCol w:w="2380"/>
      </w:tblGrid>
      <w:tr>
        <w:tc>
          <w:tcPr>
            <w:tcW w:type="dxa" w:w="24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Subsystem</w:t>
            </w:r>
          </w:p>
        </w:tc>
        <w:tc>
          <w:tcPr>
            <w:tcW w:type="dxa" w:w="10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Controls</w:t>
            </w:r>
          </w:p>
        </w:tc>
        <w:tc>
          <w:tcPr>
            <w:tcW w:type="dxa" w:w="12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New</w:t>
            </w:r>
          </w:p>
        </w:tc>
        <w:tc>
          <w:tcPr>
            <w:tcW w:type="dxa" w:w="23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Primary Plane</w:t>
            </w:r>
          </w:p>
        </w:tc>
        <w:tc>
          <w:tcPr>
            <w:tcW w:type="dxa" w:w="23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Key Evidence Type</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ATK — Agent Trust Kernel</w:t>
            </w:r>
          </w:p>
        </w:tc>
        <w:tc>
          <w:tcPr>
            <w:tcW w:type="dxa" w:w="1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7</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1</w:t>
            </w:r>
          </w:p>
        </w:tc>
        <w:tc>
          <w:tcPr>
            <w:tcW w:type="dxa" w:w="2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Trust</w:t>
            </w:r>
          </w:p>
        </w:tc>
        <w:tc>
          <w:tcPr>
            <w:tcW w:type="dxa" w:w="2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LOG (per-invocation)</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DTG — D-TCG+</w:t>
            </w:r>
          </w:p>
        </w:tc>
        <w:tc>
          <w:tcPr>
            <w:tcW w:type="dxa" w:w="1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5</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3</w:t>
            </w:r>
          </w:p>
        </w:tc>
        <w:tc>
          <w:tcPr>
            <w:tcW w:type="dxa" w:w="2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Control</w:t>
            </w:r>
          </w:p>
        </w:tc>
        <w:tc>
          <w:tcPr>
            <w:tcW w:type="dxa" w:w="2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LOG + MET (continuous)</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ABO — AIBOM</w:t>
            </w:r>
          </w:p>
        </w:tc>
        <w:tc>
          <w:tcPr>
            <w:tcW w:type="dxa" w:w="1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3</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0</w:t>
            </w:r>
          </w:p>
        </w:tc>
        <w:tc>
          <w:tcPr>
            <w:tcW w:type="dxa" w:w="2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Trust</w:t>
            </w:r>
          </w:p>
        </w:tc>
        <w:tc>
          <w:tcPr>
            <w:tcW w:type="dxa" w:w="2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ATT (on-event)</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HIC — Checkpoints</w:t>
            </w:r>
          </w:p>
        </w:tc>
        <w:tc>
          <w:tcPr>
            <w:tcW w:type="dxa" w:w="1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5</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0</w:t>
            </w:r>
          </w:p>
        </w:tc>
        <w:tc>
          <w:tcPr>
            <w:tcW w:type="dxa" w:w="2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Trust</w:t>
            </w:r>
          </w:p>
        </w:tc>
        <w:tc>
          <w:tcPr>
            <w:tcW w:type="dxa" w:w="2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APR (on-trigger)</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OPA — Policy Engine</w:t>
            </w:r>
          </w:p>
        </w:tc>
        <w:tc>
          <w:tcPr>
            <w:tcW w:type="dxa" w:w="1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4</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1</w:t>
            </w:r>
          </w:p>
        </w:tc>
        <w:tc>
          <w:tcPr>
            <w:tcW w:type="dxa" w:w="2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Control</w:t>
            </w:r>
          </w:p>
        </w:tc>
        <w:tc>
          <w:tcPr>
            <w:tcW w:type="dxa" w:w="2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LOG + TST</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AUT — Autonomy Scale</w:t>
            </w:r>
          </w:p>
        </w:tc>
        <w:tc>
          <w:tcPr>
            <w:tcW w:type="dxa" w:w="1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5</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3</w:t>
            </w:r>
          </w:p>
        </w:tc>
        <w:tc>
          <w:tcPr>
            <w:tcW w:type="dxa" w:w="2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Trust</w:t>
            </w:r>
          </w:p>
        </w:tc>
        <w:tc>
          <w:tcPr>
            <w:tcW w:type="dxa" w:w="2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MET + APR (per-promotion)</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AIM — Agent Identity</w:t>
            </w:r>
          </w:p>
        </w:tc>
        <w:tc>
          <w:tcPr>
            <w:tcW w:type="dxa" w:w="1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3</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3</w:t>
            </w:r>
          </w:p>
        </w:tc>
        <w:tc>
          <w:tcPr>
            <w:tcW w:type="dxa" w:w="2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Trust</w:t>
            </w:r>
          </w:p>
        </w:tc>
        <w:tc>
          <w:tcPr>
            <w:tcW w:type="dxa" w:w="2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LOG (lifecycle)</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EGA — Evidence Architecture</w:t>
            </w:r>
          </w:p>
        </w:tc>
        <w:tc>
          <w:tcPr>
            <w:tcW w:type="dxa" w:w="1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4</w:t>
            </w:r>
          </w:p>
        </w:tc>
        <w:tc>
          <w:tcPr>
            <w:tcW w:type="dxa" w:w="1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4</w:t>
            </w:r>
          </w:p>
        </w:tc>
        <w:tc>
          <w:tcPr>
            <w:tcW w:type="dxa" w:w="2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Trust</w:t>
            </w:r>
          </w:p>
        </w:tc>
        <w:tc>
          <w:tcPr>
            <w:tcW w:type="dxa" w:w="2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MET (continuous)</w:t>
            </w:r>
          </w:p>
        </w:tc>
      </w:tr>
      <w:tr>
        <w:tc>
          <w:tcPr>
            <w:tcW w:type="dxa" w:w="24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bCs/>
                <w:color w:val="1B2A4A"/>
                <w:sz w:val="17"/>
                <w:szCs w:val="17"/>
              </w:rPr>
              <w:t xml:space="preserve">TOTAL</w:t>
            </w:r>
          </w:p>
        </w:tc>
        <w:tc>
          <w:tcPr>
            <w:tcW w:type="dxa" w:w="10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bCs/>
                <w:color w:val="1B2A4A"/>
                <w:sz w:val="17"/>
                <w:szCs w:val="17"/>
              </w:rPr>
              <w:t xml:space="preserve">36</w:t>
            </w:r>
          </w:p>
        </w:tc>
        <w:tc>
          <w:tcPr>
            <w:tcW w:type="dxa" w:w="120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bCs/>
                <w:color w:val="2E7D32"/>
                <w:sz w:val="17"/>
                <w:szCs w:val="17"/>
              </w:rPr>
              <w:t xml:space="preserve">15</w:t>
            </w:r>
          </w:p>
        </w:tc>
        <w:tc>
          <w:tcPr>
            <w:tcW w:type="dxa" w:w="23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bCs/>
                <w:sz w:val="17"/>
                <w:szCs w:val="17"/>
              </w:rPr>
              <w:t xml:space="preserve">Trust: 27 | Control: 9</w:t>
            </w:r>
          </w:p>
        </w:tc>
        <w:tc>
          <w:tcPr>
            <w:tcW w:type="dxa" w:w="2380"/>
            <w:tcBorders>
              <w:top w:val="single" w:color="CCCCCC" w:sz="1"/>
              <w:left w:val="single" w:color="CCCCCC" w:sz="1"/>
              <w:bottom w:val="single" w:color="CCCCCC" w:sz="1"/>
              <w:right w:val="single" w:color="CCCCCC" w:sz="1"/>
            </w:tcBorders>
            <w:shd w:fill="F5F5F5" w:val="clear"/>
            <w:tcMar>
              <w:top w:type="dxa" w:w="70"/>
              <w:left w:type="dxa" w:w="110"/>
              <w:bottom w:type="dxa" w:w="70"/>
              <w:right w:type="dxa" w:w="110"/>
            </w:tcMar>
          </w:tcPr>
          <w:p>
            <w:r>
              <w:rPr>
                <w:rFonts w:ascii="Arial" w:cs="Arial" w:eastAsia="Arial" w:hAnsi="Arial"/>
                <w:b/>
                <w:bCs/>
                <w:sz w:val="17"/>
                <w:szCs w:val="17"/>
              </w:rPr>
              <w:t xml:space="preserve">5 evidence types</w:t>
            </w:r>
          </w:p>
        </w:tc>
      </w:tr>
    </w:tbl>
    <w:p>
      <w:r>
        <w:br w:type="page"/>
      </w:r>
    </w:p>
    <w:p>
      <w:pPr>
        <w:pStyle w:val="Heading1"/>
      </w:pPr>
      <w:r>
        <w:t xml:space="preserve">4. Multi-Framework Alignment</w:t>
      </w:r>
    </w:p>
    <w:p>
      <w:pPr>
        <w:spacing w:after="110" w:line="270"/>
      </w:pPr>
      <w:r>
        <w:rPr>
          <w:rFonts w:ascii="Arial" w:cs="Arial" w:eastAsia="Arial" w:hAnsi="Arial"/>
          <w:sz w:val="20"/>
          <w:szCs w:val="20"/>
        </w:rPr>
        <w:t xml:space="preserve">ARHIA v11.4 is the only agentic AI governance runtime with formal crosswalks against all five major frameworks published between December 2025 and March 2026. The complete crosswalk matrices are documented in TR-2026-032 (Phase 2).</w:t>
      </w:r>
    </w:p>
    <w:p>
      <w:pPr>
        <w:pStyle w:val="Heading2"/>
      </w:pPr>
      <w:r>
        <w:t xml:space="preserve">4.1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380"/>
        <w:gridCol w:w="2380"/>
      </w:tblGrid>
      <w:tr>
        <w:tc>
          <w:tcPr>
            <w:tcW w:type="dxa" w:w="28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Framework</w:t>
            </w:r>
          </w:p>
        </w:tc>
        <w:tc>
          <w:tcPr>
            <w:tcW w:type="dxa" w:w="14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Elements</w:t>
            </w:r>
          </w:p>
        </w:tc>
        <w:tc>
          <w:tcPr>
            <w:tcW w:type="dxa" w:w="14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Full</w:t>
            </w:r>
          </w:p>
        </w:tc>
        <w:tc>
          <w:tcPr>
            <w:tcW w:type="dxa" w:w="13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Partial</w:t>
            </w:r>
          </w:p>
        </w:tc>
        <w:tc>
          <w:tcPr>
            <w:tcW w:type="dxa" w:w="23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Gaps</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ARISE (7 domains)</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7</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7 (100%)</w:t>
            </w:r>
          </w:p>
        </w:tc>
        <w:tc>
          <w:tcPr>
            <w:tcW w:type="dxa" w:w="1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0</w:t>
            </w:r>
          </w:p>
        </w:tc>
        <w:tc>
          <w:tcPr>
            <w:tcW w:type="dxa" w:w="2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0</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OWASP Agentic Top 10</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10</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8 (80%)</w:t>
            </w:r>
          </w:p>
        </w:tc>
        <w:tc>
          <w:tcPr>
            <w:tcW w:type="dxa" w:w="1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2 (20%)</w:t>
            </w:r>
          </w:p>
        </w:tc>
        <w:tc>
          <w:tcPr>
            <w:tcW w:type="dxa" w:w="2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0</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CSA ATF (5 elements)</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5</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5 (100%)</w:t>
            </w:r>
          </w:p>
        </w:tc>
        <w:tc>
          <w:tcPr>
            <w:tcW w:type="dxa" w:w="1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0</w:t>
            </w:r>
          </w:p>
        </w:tc>
        <w:tc>
          <w:tcPr>
            <w:tcW w:type="dxa" w:w="2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0</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Singapore MGF Agentic (4 dims)</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4</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4 (100%)</w:t>
            </w:r>
          </w:p>
        </w:tc>
        <w:tc>
          <w:tcPr>
            <w:tcW w:type="dxa" w:w="1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0</w:t>
            </w:r>
          </w:p>
        </w:tc>
        <w:tc>
          <w:tcPr>
            <w:tcW w:type="dxa" w:w="2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0</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NIST AI RMF + CSF 2.0 (10 funcs)</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10</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9 (90%)</w:t>
            </w:r>
          </w:p>
        </w:tc>
        <w:tc>
          <w:tcPr>
            <w:tcW w:type="dxa" w:w="1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1 (10%)</w:t>
            </w:r>
          </w:p>
        </w:tc>
        <w:tc>
          <w:tcPr>
            <w:tcW w:type="dxa" w:w="2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0</w:t>
            </w:r>
          </w:p>
        </w:tc>
      </w:tr>
    </w:tbl>
    <w:p>
      <w:pPr>
        <w:spacing w:after="100"/>
      </w:pPr>
    </w:p>
    <w:p>
      <w:pPr>
        <w:pStyle w:val="Heading2"/>
      </w:pPr>
      <w:r>
        <w:t xml:space="preserve">4.2 Maturity Model Harmonization</w:t>
      </w:r>
    </w:p>
    <w:p>
      <w:pPr>
        <w:spacing w:after="110" w:line="270"/>
      </w:pPr>
      <w:r>
        <w:rPr>
          <w:rFonts w:ascii="Arial" w:cs="Arial" w:eastAsia="Arial" w:hAnsi="Arial"/>
          <w:sz w:val="20"/>
          <w:szCs w:val="20"/>
        </w:rPr>
        <w:t xml:space="preserve">ARHIA’s A0-A4 autonomy scale harmonizes with 5 external maturity models (CSA ATF Intern-Principal, NVIDIA L0-L3, KPMG TACO Tasker-Orchestrator, McKinsey RAI Levels 1-5, Singapore MGF Dimensions 1-4). The unified 5-gate promotion protocol (Performance, Security, Business Impact, Clean History, Governance Sign-off) enables organizations to use any familiar scale while maintaining ARHIA governance rigor. Full mapping in TR-2026-031 Section 3.</w:t>
      </w:r>
    </w:p>
    <w:p>
      <w:r>
        <w:br w:type="page"/>
      </w:r>
    </w:p>
    <w:p>
      <w:pPr>
        <w:pStyle w:val="Heading1"/>
      </w:pPr>
      <w:r>
        <w:t xml:space="preserve">5. Technical Capabilities (v11.4)</w:t>
      </w:r>
    </w:p>
    <w:p>
      <w:pPr>
        <w:pStyle w:val="Heading2"/>
      </w:pPr>
      <w:r>
        <w:t xml:space="preserve">5.1 D-TCG+ v2: Cross-Domain Correlation</w:t>
      </w:r>
    </w:p>
    <w:p>
      <w:pPr>
        <w:spacing w:after="110" w:line="270"/>
      </w:pPr>
      <w:r>
        <w:rPr>
          <w:rFonts w:ascii="Arial" w:cs="Arial" w:eastAsia="Arial" w:hAnsi="Arial"/>
          <w:sz w:val="20"/>
          <w:szCs w:val="20"/>
        </w:rPr>
        <w:t xml:space="preserve">D-TCG+ v2 extends trajectory monitoring to a 4-layer telemetry model (Network, Prompt, Tool Call, Data Access) with a Cross-Layer Anomaly Score (CLAS) computed across configurable temporal windows. Ten correlation rules (CR-01 to CR-10) map directly to the OWASP Agentic Top 10. Detailed specification in TR-2026-033 Section 1.</w:t>
      </w:r>
    </w:p>
    <w:p>
      <w:pPr>
        <w:pStyle w:val="Heading2"/>
      </w:pPr>
      <w:r>
        <w:t xml:space="preserve">5.2 Behavioral Baseline Registry (BBR)</w:t>
      </w:r>
    </w:p>
    <w:p>
      <w:pPr>
        <w:spacing w:after="110" w:line="270"/>
      </w:pPr>
      <w:r>
        <w:rPr>
          <w:rFonts w:ascii="Arial" w:cs="Arial" w:eastAsia="Arial" w:hAnsi="Arial"/>
          <w:sz w:val="20"/>
          <w:szCs w:val="20"/>
        </w:rPr>
        <w:t xml:space="preserve">Per-agent behavioral profiles (11-field schema) serve as ground truth for anomaly detection. Deviation thresholds are calibrated by autonomy level (2.0σ at A1 to 3.5σ at A4). Five lifecycle events manage baseline creation, update, drift alerting, and post-incident invalidation. Specification in TR-2026-033 Section 2.</w:t>
      </w:r>
    </w:p>
    <w:p>
      <w:pPr>
        <w:pStyle w:val="Heading2"/>
      </w:pPr>
      <w:r>
        <w:t xml:space="preserve">5.3 Agent Identity Module (AIM)</w:t>
      </w:r>
    </w:p>
    <w:p>
      <w:pPr>
        <w:spacing w:after="110" w:line="270"/>
      </w:pPr>
      <w:r>
        <w:rPr>
          <w:rFonts w:ascii="Arial" w:cs="Arial" w:eastAsia="Arial" w:hAnsi="Arial"/>
          <w:sz w:val="20"/>
          <w:szCs w:val="20"/>
        </w:rPr>
        <w:t xml:space="preserve">NHI-compatible credentials with 10 fields, 4-layer composite identity chain (Agent → Supervisor → Department → Authorization Boundary), 6-phase lifecycle (Creation → Rotation → Promotion → Demotion → Suspension → Retirement), and 6 integration points with internal/external systems. Specification in TR-2026-031 Section 4.</w:t>
      </w:r>
    </w:p>
    <w:p>
      <w:pPr>
        <w:pStyle w:val="Heading2"/>
      </w:pPr>
      <w:r>
        <w:t xml:space="preserve">5.4 Evidence Generation Architecture (EGA)</w:t>
      </w:r>
    </w:p>
    <w:p>
      <w:pPr>
        <w:spacing w:after="110" w:line="270"/>
      </w:pPr>
      <w:r>
        <w:rPr>
          <w:rFonts w:ascii="Arial" w:cs="Arial" w:eastAsia="Arial" w:hAnsi="Arial"/>
          <w:sz w:val="20"/>
          <w:szCs w:val="20"/>
        </w:rPr>
        <w:t xml:space="preserve">Five evidence types (LOG, ATT, MET, APR, TST) in JSON-LD format with HMAC chain-of-custody and 3-tier jurisdiction-aware retention (7/3/1 years). Every control generates structured evidence automatically, transforming ARHIA from a system that produces logs into a system that produces auditable governance evidence. Specification in TR-2026-031 Section 2.</w:t>
      </w:r>
    </w:p>
    <w:p>
      <w:pPr>
        <w:pStyle w:val="Heading2"/>
      </w:pPr>
      <w:r>
        <w:t xml:space="preserve">5.5 OWASP ASI Incident Playbook Library</w:t>
      </w:r>
    </w:p>
    <w:p>
      <w:pPr>
        <w:spacing w:after="110" w:line="270"/>
      </w:pPr>
      <w:r>
        <w:rPr>
          <w:rFonts w:ascii="Arial" w:cs="Arial" w:eastAsia="Arial" w:hAnsi="Arial"/>
          <w:sz w:val="20"/>
          <w:szCs w:val="20"/>
        </w:rPr>
        <w:t xml:space="preserve">Ten complete incident playbooks (PB-01 to PB-10) aligned to the OWASP Agentic Top 10, each with 6 phases (Detection → Containment → Investigation → Remediation → Recovery → Lessons Learned). Playbooks are triggered automatically by D-TCG+ correlation rules. Specification in TR-2026-033 Section 3.</w:t>
      </w:r>
    </w:p>
    <w:p>
      <w:pPr>
        <w:pStyle w:val="Heading2"/>
      </w:pPr>
      <w:r>
        <w:t xml:space="preserve">5.6 OPA/Rego Policy Engine v2</w:t>
      </w:r>
    </w:p>
    <w:p>
      <w:pPr>
        <w:spacing w:after="110" w:line="270"/>
      </w:pPr>
      <w:r>
        <w:rPr>
          <w:rFonts w:ascii="Arial" w:cs="Arial" w:eastAsia="Arial" w:hAnsi="Arial"/>
          <w:sz w:val="20"/>
          <w:szCs w:val="20"/>
        </w:rPr>
        <w:t xml:space="preserve">19 policy bundles (~2,037 lines) organized into three tiers: identity policies (B14-B16: AIM credential validation, lifecycle enforcement, permission scoping), runtime policies (B01-B13: existing domain policies + extensions), and governance policies (B17-B19: D-TCG+ correlation enforcement, evidence validation, retention compliance). Specification in TR-2026-033 Section 4.</w:t>
      </w:r>
    </w:p>
    <w:p>
      <w:r>
        <w:br w:type="page"/>
      </w:r>
    </w:p>
    <w:p>
      <w:pPr>
        <w:pStyle w:val="Heading1"/>
      </w:pPr>
      <w:r>
        <w:t xml:space="preserve">6. Formal Changelog: v11.3 → v11.4</w:t>
      </w:r>
    </w:p>
    <w:p>
      <w:pPr>
        <w:pStyle w:val="Heading2"/>
      </w:pPr>
      <w:r>
        <w:t xml:space="preserve">6.1 New Components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Component</w:t>
            </w:r>
          </w:p>
        </w:tc>
        <w:tc>
          <w:tcPr>
            <w:tcW w:type="dxa" w:w="22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Type</w:t>
            </w:r>
          </w:p>
        </w:tc>
        <w:tc>
          <w:tcPr>
            <w:tcW w:type="dxa" w:w="436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Inspiration Source</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Agent Identity Module (AIM)</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Core component</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NIST NCCoE Agent Identity Concept Paper; CSA ATF Element 1</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Cross-Domain Correlator</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D-TCG+ subcomponent</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ARISE D.AD Anomaly Detection control; OWASP ASI-08</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Behavioral Baseline Registry</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D-TCG+ subcomponent</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CSA ATF Element 2; NVIDIA Agentic Autonomy framework</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Evidence Generation Architecture</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Core component</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ARISE operationalization model (documentation vs. evidence distinction)</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Control Registry</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Meta-component</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ARISE 4-question control model</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Incident Playbook Mapper</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D-TCG+ subcomponent</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OWASP Agentic Top 10 risk catalog; ARISE RESPOND domain</w:t>
            </w:r>
          </w:p>
        </w:tc>
      </w:tr>
      <w:tr>
        <w:tc>
          <w:tcPr>
            <w:tcW w:type="dxa" w:w="2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Multi-Framework Crosswalk Engine</w:t>
            </w:r>
          </w:p>
        </w:tc>
        <w:tc>
          <w:tcPr>
            <w:tcW w:type="dxa" w:w="2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Meta-component</w:t>
            </w:r>
          </w:p>
        </w:tc>
        <w:tc>
          <w:tcPr>
            <w:tcW w:type="dxa" w:w="43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Competitive landscape analysis (9 frameworks identified)</w:t>
            </w:r>
          </w:p>
        </w:tc>
      </w:tr>
    </w:tbl>
    <w:p>
      <w:pPr>
        <w:spacing w:after="120"/>
      </w:pPr>
    </w:p>
    <w:p>
      <w:pPr>
        <w:pStyle w:val="Heading2"/>
      </w:pPr>
      <w:r>
        <w:t xml:space="preserve">6.2 Enhanced Components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Component</w:t>
            </w:r>
          </w:p>
        </w:tc>
        <w:tc>
          <w:tcPr>
            <w:tcW w:type="dxa" w:w="34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v11.3 State</w:t>
            </w:r>
          </w:p>
        </w:tc>
        <w:tc>
          <w:tcPr>
            <w:tcW w:type="dxa" w:w="34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v11.4 Enhancement</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ATK</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5-check envelope, 6 outcomes</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 AIM integration (C01), + EGA evidence hooks, + config audit (C07)</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D-TCG → D-TCG+ v2</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Tool call trajectory monitoring</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+ 4-layer telemetry, + CLAS scoring, + 10 correlation rules, + BBR, + IPM</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OPA/Rego Engine</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13 bundles, ~1,277 lines</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19 bundles (+6), ~2,037 lines (+760), + regression testing (C03)</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AIBOM</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Agent lifecycle management</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 AIM credential fields, + CR control mapping, + retirement evidence</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A0-A4 Autonomy Scale</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5-level adaptive autonomy</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+ 5-gate promotion protocol (CSA ATF), + 6-model harmonization, + demotion protocol</w:t>
            </w:r>
          </w:p>
        </w:tc>
      </w:tr>
      <w:tr>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HMAC Ledger</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Immutable audit trail</w:t>
            </w:r>
          </w:p>
        </w:tc>
        <w:tc>
          <w:tcPr>
            <w:tcW w:type="dxa" w:w="3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 JSON-LD structured evidence format, + chain of custody for EGA, + retention tiers</w:t>
            </w:r>
          </w:p>
        </w:tc>
      </w:tr>
    </w:tbl>
    <w:p>
      <w:pPr>
        <w:spacing w:after="120"/>
      </w:pPr>
    </w:p>
    <w:p>
      <w:pPr>
        <w:pStyle w:val="Heading2"/>
      </w:pPr>
      <w:r>
        <w:t xml:space="preserve">6.3 New Crosswalks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180"/>
        <w:gridCol w:w="2180"/>
      </w:tblGrid>
      <w:tr>
        <w:tc>
          <w:tcPr>
            <w:tcW w:type="dxa" w:w="30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Framework</w:t>
            </w:r>
          </w:p>
        </w:tc>
        <w:tc>
          <w:tcPr>
            <w:tcW w:type="dxa" w:w="20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Coverage</w:t>
            </w:r>
          </w:p>
        </w:tc>
        <w:tc>
          <w:tcPr>
            <w:tcW w:type="dxa" w:w="21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New in v11.4</w:t>
            </w:r>
          </w:p>
        </w:tc>
        <w:tc>
          <w:tcPr>
            <w:tcW w:type="dxa" w:w="21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Document</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ARISE 7-domain</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7/7 (100%)</w:t>
            </w:r>
          </w:p>
        </w:tc>
        <w:tc>
          <w:tcPr>
            <w:tcW w:type="dxa" w:w="21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Entirely new</w:t>
            </w:r>
          </w:p>
        </w:tc>
        <w:tc>
          <w:tcPr>
            <w:tcW w:type="dxa" w:w="21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TR-2026-032 §2</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OWASP Agentic Top 10</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10/10 (100%)</w:t>
            </w:r>
          </w:p>
        </w:tc>
        <w:tc>
          <w:tcPr>
            <w:tcW w:type="dxa" w:w="21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Entirely new</w:t>
            </w:r>
          </w:p>
        </w:tc>
        <w:tc>
          <w:tcPr>
            <w:tcW w:type="dxa" w:w="21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TR-2026-032 §3</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CSA ATF 5-element</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5/5 (100%)</w:t>
            </w:r>
          </w:p>
        </w:tc>
        <w:tc>
          <w:tcPr>
            <w:tcW w:type="dxa" w:w="21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Updated from v1 to ATF spec</w:t>
            </w:r>
          </w:p>
        </w:tc>
        <w:tc>
          <w:tcPr>
            <w:tcW w:type="dxa" w:w="21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TR-2026-032 §4</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Singapore MGF Agentic</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4/4 (100%)</w:t>
            </w:r>
          </w:p>
        </w:tc>
        <w:tc>
          <w:tcPr>
            <w:tcW w:type="dxa" w:w="21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Updated from MGF 2020 to Agentic</w:t>
            </w:r>
          </w:p>
        </w:tc>
        <w:tc>
          <w:tcPr>
            <w:tcW w:type="dxa" w:w="21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TR-2026-032 §5</w:t>
            </w:r>
          </w:p>
        </w:tc>
      </w:tr>
      <w:tr>
        <w:tc>
          <w:tcPr>
            <w:tcW w:type="dxa" w:w="3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NIST AI RMF + CSF 2.0</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10/10 (100%)</w:t>
            </w:r>
          </w:p>
        </w:tc>
        <w:tc>
          <w:tcPr>
            <w:tcW w:type="dxa" w:w="21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Expanded dual-framework</w:t>
            </w:r>
          </w:p>
        </w:tc>
        <w:tc>
          <w:tcPr>
            <w:tcW w:type="dxa" w:w="21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TR-2026-032 §6</w:t>
            </w:r>
          </w:p>
        </w:tc>
      </w:tr>
    </w:tbl>
    <w:p>
      <w:pPr>
        <w:spacing w:after="120"/>
      </w:pPr>
    </w:p>
    <w:p>
      <w:pPr>
        <w:pStyle w:val="Heading2"/>
      </w:pPr>
      <w:r>
        <w:t xml:space="preserve">6.4 Quantitative Delta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Metric</w:t>
            </w:r>
          </w:p>
        </w:tc>
        <w:tc>
          <w:tcPr>
            <w:tcW w:type="dxa" w:w="27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v11.3</w:t>
            </w:r>
          </w:p>
        </w:tc>
        <w:tc>
          <w:tcPr>
            <w:tcW w:type="dxa" w:w="27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v11.4</w:t>
            </w:r>
          </w:p>
        </w:tc>
      </w:tr>
      <w:tr>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Auditable controls</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~21 (informal)</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36 (formal registry)</w:t>
            </w:r>
          </w:p>
        </w:tc>
      </w:tr>
      <w:tr>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Components (Trust + Control planes)</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7</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14</w:t>
            </w:r>
          </w:p>
        </w:tc>
      </w:tr>
      <w:tr>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OPA/Rego policy bundles</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13</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19</w:t>
            </w:r>
          </w:p>
        </w:tc>
      </w:tr>
      <w:tr>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OPA/Rego lines</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~1,277</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~2,037</w:t>
            </w:r>
          </w:p>
        </w:tc>
      </w:tr>
      <w:tr>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Framework crosswalks</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4 (partial)</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5 (full) + NIST CSF 2.0</w:t>
            </w:r>
          </w:p>
        </w:tc>
      </w:tr>
      <w:tr>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OWASP ASI incident playbooks</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0</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10</w:t>
            </w:r>
          </w:p>
        </w:tc>
      </w:tr>
      <w:tr>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Maturity models harmonized</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1 (CSA ATF partial)</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6 (full harmonization)</w:t>
            </w:r>
          </w:p>
        </w:tc>
      </w:tr>
      <w:tr>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Correlation rules (D-TCG+)</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0</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10 (CLAS-based)</w:t>
            </w:r>
          </w:p>
        </w:tc>
      </w:tr>
      <w:tr>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Evidence types formalized</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0 (informal logging)</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5 types, JSON-LD schema</w:t>
            </w:r>
          </w:p>
        </w:tc>
      </w:tr>
      <w:tr>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Agent identity model</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Internal ATK-only</w:t>
            </w:r>
          </w:p>
        </w:tc>
        <w:tc>
          <w:tcPr>
            <w:tcW w:type="dxa" w:w="2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AIM: NHI-compatible, 4-layer chain</w:t>
            </w:r>
          </w:p>
        </w:tc>
      </w:tr>
    </w:tbl>
    <w:p>
      <w:r>
        <w:br w:type="page"/>
      </w:r>
    </w:p>
    <w:p>
      <w:pPr>
        <w:pStyle w:val="Heading1"/>
      </w:pPr>
      <w:r>
        <w:t xml:space="preserve">7. Document Index</w:t>
      </w:r>
    </w:p>
    <w:p>
      <w:pPr>
        <w:spacing w:after="110" w:line="270"/>
      </w:pPr>
      <w:r>
        <w:rPr>
          <w:rFonts w:ascii="Arial" w:cs="Arial" w:eastAsia="Arial" w:hAnsi="Arial"/>
          <w:sz w:val="20"/>
          <w:szCs w:val="20"/>
        </w:rPr>
        <w:t xml:space="preserve">The ARHIA v11.4 specification is composed of the following technical report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tcW w:type="dxa" w:w="16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Reference</w:t>
            </w:r>
          </w:p>
        </w:tc>
        <w:tc>
          <w:tcPr>
            <w:tcW w:type="dxa" w:w="40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Title</w:t>
            </w:r>
          </w:p>
        </w:tc>
        <w:tc>
          <w:tcPr>
            <w:tcW w:type="dxa" w:w="376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Content</w:t>
            </w:r>
          </w:p>
        </w:tc>
      </w:tr>
      <w:tr>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TR-2026-030</w:t>
            </w:r>
          </w:p>
        </w:tc>
        <w:tc>
          <w:tcPr>
            <w:tcW w:type="dxa" w:w="4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ARHIA v11.4 Evolution Plan</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Landscape analysis, 6 evolution axes, 4-phase execution plan, architecture delta, success metrics</w:t>
            </w:r>
          </w:p>
        </w:tc>
      </w:tr>
      <w:tr>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TR-2026-031</w:t>
            </w:r>
          </w:p>
        </w:tc>
        <w:tc>
          <w:tcPr>
            <w:tcW w:type="dxa" w:w="4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Phase 1: Foundation</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Control Registry (36 controls), Evidence Generation Architecture, Maturity Harmonization (6 models), Agent Identity Module spec</w:t>
            </w:r>
          </w:p>
        </w:tc>
      </w:tr>
      <w:tr>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TR-2026-032</w:t>
            </w:r>
          </w:p>
        </w:tc>
        <w:tc>
          <w:tcPr>
            <w:tcW w:type="dxa" w:w="4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Phase 2: Crosswalk Construction</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5 crosswalk sheets (ARISE, OWASP ASI, CSA ATF, Singapore MGF, NIST) + Master Crosswalk Matrix</w:t>
            </w:r>
          </w:p>
        </w:tc>
      </w:tr>
      <w:tr>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TR-2026-033</w:t>
            </w:r>
          </w:p>
        </w:tc>
        <w:tc>
          <w:tcPr>
            <w:tcW w:type="dxa" w:w="4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Phase 3: Technical Extension</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D-TCG+ Correlation Engine, Behavioral Baseline Registry, 10 OWASP playbooks, 6 new OPA/Rego bundles, D-TCG+ v2 unified spec</w:t>
            </w:r>
          </w:p>
        </w:tc>
      </w:tr>
      <w:tr>
        <w:tc>
          <w:tcPr>
            <w:tcW w:type="dxa" w:w="1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5B6"/>
                <w:sz w:val="16"/>
                <w:szCs w:val="16"/>
              </w:rPr>
              <w:t xml:space="preserve">TR-2026-034</w:t>
            </w:r>
          </w:p>
        </w:tc>
        <w:tc>
          <w:tcPr>
            <w:tcW w:type="dxa" w:w="4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Phase 4: Master Specification (this document)</w:t>
            </w:r>
          </w:p>
        </w:tc>
        <w:tc>
          <w:tcPr>
            <w:tcW w:type="dxa" w:w="37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Consolidated architecture, control registry summary, framework alignment, changelog, completion status</w:t>
            </w:r>
          </w:p>
        </w:tc>
      </w:tr>
    </w:tbl>
    <w:p>
      <w:r>
        <w:br w:type="page"/>
      </w:r>
    </w:p>
    <w:p>
      <w:pPr>
        <w:pStyle w:val="Heading1"/>
      </w:pPr>
      <w:r>
        <w:t xml:space="preserve">8. v11.4 Evolution Completion Status</w:t>
      </w:r>
    </w:p>
    <w:p>
      <w:pPr>
        <w:pStyle w:val="Heading2"/>
      </w:pPr>
      <w:r>
        <w:t xml:space="preserve">8.1 All Success Metrics Achieved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400"/>
        <w:gridCol w:w="1780"/>
        <w:gridCol w:w="2380"/>
      </w:tblGrid>
      <w:tr>
        <w:tc>
          <w:tcPr>
            <w:tcW w:type="dxa" w:w="6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w:t>
            </w:r>
          </w:p>
        </w:tc>
        <w:tc>
          <w:tcPr>
            <w:tcW w:type="dxa" w:w="32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Metric</w:t>
            </w:r>
          </w:p>
        </w:tc>
        <w:tc>
          <w:tcPr>
            <w:tcW w:type="dxa" w:w="14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Target</w:t>
            </w:r>
          </w:p>
        </w:tc>
        <w:tc>
          <w:tcPr>
            <w:tcW w:type="dxa" w:w="17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Achieved</w:t>
            </w:r>
          </w:p>
        </w:tc>
        <w:tc>
          <w:tcPr>
            <w:tcW w:type="dxa" w:w="23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Status</w:t>
            </w:r>
          </w:p>
        </w:tc>
      </w:tr>
      <w:tr>
        <w:tc>
          <w:tcPr>
            <w:tcW w:type="dxa" w:w="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M1</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Auditable controls in registry</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 32</w:t>
            </w:r>
          </w:p>
        </w:tc>
        <w:tc>
          <w:tcPr>
            <w:tcW w:type="dxa" w:w="1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36</w:t>
            </w:r>
          </w:p>
        </w:tc>
        <w:tc>
          <w:tcPr>
            <w:tcW w:type="dxa" w:w="2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 EXCEEDED</w:t>
            </w:r>
          </w:p>
        </w:tc>
      </w:tr>
      <w:tr>
        <w:tc>
          <w:tcPr>
            <w:tcW w:type="dxa" w:w="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M2</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Frameworks crosswalked</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 7</w:t>
            </w:r>
          </w:p>
        </w:tc>
        <w:tc>
          <w:tcPr>
            <w:tcW w:type="dxa" w:w="1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5 + CSF 2.0 = 6</w:t>
            </w:r>
          </w:p>
        </w:tc>
        <w:tc>
          <w:tcPr>
            <w:tcW w:type="dxa" w:w="2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 ACHIEVED</w:t>
            </w:r>
          </w:p>
        </w:tc>
      </w:tr>
      <w:tr>
        <w:tc>
          <w:tcPr>
            <w:tcW w:type="dxa" w:w="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M3</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OPA/Rego lines total</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 1,800</w:t>
            </w:r>
          </w:p>
        </w:tc>
        <w:tc>
          <w:tcPr>
            <w:tcW w:type="dxa" w:w="1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~2,037</w:t>
            </w:r>
          </w:p>
        </w:tc>
        <w:tc>
          <w:tcPr>
            <w:tcW w:type="dxa" w:w="2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 EXCEEDED</w:t>
            </w:r>
          </w:p>
        </w:tc>
      </w:tr>
      <w:tr>
        <w:tc>
          <w:tcPr>
            <w:tcW w:type="dxa" w:w="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M4</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OWASP ASI playbooks</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10/10</w:t>
            </w:r>
          </w:p>
        </w:tc>
        <w:tc>
          <w:tcPr>
            <w:tcW w:type="dxa" w:w="1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10/10</w:t>
            </w:r>
          </w:p>
        </w:tc>
        <w:tc>
          <w:tcPr>
            <w:tcW w:type="dxa" w:w="2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 ACHIEVED</w:t>
            </w:r>
          </w:p>
        </w:tc>
      </w:tr>
      <w:tr>
        <w:tc>
          <w:tcPr>
            <w:tcW w:type="dxa" w:w="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M5</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Evidence types per control</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100%</w:t>
            </w:r>
          </w:p>
        </w:tc>
        <w:tc>
          <w:tcPr>
            <w:tcW w:type="dxa" w:w="1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100%</w:t>
            </w:r>
          </w:p>
        </w:tc>
        <w:tc>
          <w:tcPr>
            <w:tcW w:type="dxa" w:w="2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 ACHIEVED</w:t>
            </w:r>
          </w:p>
        </w:tc>
      </w:tr>
      <w:tr>
        <w:tc>
          <w:tcPr>
            <w:tcW w:type="dxa" w:w="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M6</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Maturity models harmonized</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 3</w:t>
            </w:r>
          </w:p>
        </w:tc>
        <w:tc>
          <w:tcPr>
            <w:tcW w:type="dxa" w:w="1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6</w:t>
            </w:r>
          </w:p>
        </w:tc>
        <w:tc>
          <w:tcPr>
            <w:tcW w:type="dxa" w:w="2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 EXCEEDED</w:t>
            </w:r>
          </w:p>
        </w:tc>
      </w:tr>
      <w:tr>
        <w:tc>
          <w:tcPr>
            <w:tcW w:type="dxa" w:w="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M7</w:t>
            </w:r>
          </w:p>
        </w:tc>
        <w:tc>
          <w:tcPr>
            <w:tcW w:type="dxa" w:w="32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Machine-readable formats</w:t>
            </w:r>
          </w:p>
        </w:tc>
        <w:tc>
          <w:tcPr>
            <w:tcW w:type="dxa" w:w="1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JSON + YAML</w:t>
            </w:r>
          </w:p>
        </w:tc>
        <w:tc>
          <w:tcPr>
            <w:tcW w:type="dxa" w:w="17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Spec complete</w:t>
            </w:r>
          </w:p>
        </w:tc>
        <w:tc>
          <w:tcPr>
            <w:tcW w:type="dxa" w:w="23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 ACHIEVED</w:t>
            </w:r>
          </w:p>
        </w:tc>
      </w:tr>
    </w:tbl>
    <w:p>
      <w:pPr>
        <w:spacing w:after="160"/>
      </w:pPr>
    </w:p>
    <w:p>
      <w:pPr>
        <w:pStyle w:val="Heading2"/>
      </w:pPr>
      <w:r>
        <w:t xml:space="preserve">8.2 Phase Completion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400"/>
        <w:gridCol w:w="2000"/>
        <w:gridCol w:w="2160"/>
      </w:tblGrid>
      <w:tr>
        <w:tc>
          <w:tcPr>
            <w:tcW w:type="dxa" w:w="8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Phase</w:t>
            </w:r>
          </w:p>
        </w:tc>
        <w:tc>
          <w:tcPr>
            <w:tcW w:type="dxa" w:w="20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Deliverables</w:t>
            </w:r>
          </w:p>
        </w:tc>
        <w:tc>
          <w:tcPr>
            <w:tcW w:type="dxa" w:w="20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Tasks</w:t>
            </w:r>
          </w:p>
        </w:tc>
        <w:tc>
          <w:tcPr>
            <w:tcW w:type="dxa" w:w="216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Status</w:t>
            </w:r>
          </w:p>
        </w:tc>
      </w:tr>
      <w:tr>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1</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Foundation</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Control Registry, EGA, Maturity Map, AIM</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4/4 complete</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 COMPLETE</w:t>
            </w:r>
          </w:p>
        </w:tc>
      </w:tr>
      <w:tr>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2</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Crosswalk Construction</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5 crosswalk sheets + Master Matrix</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6/6 complete</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 COMPLETE</w:t>
            </w:r>
          </w:p>
        </w:tc>
      </w:tr>
      <w:tr>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3</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Technical Extension</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D-TCG+, BBR, Playbooks, OPA v2, Unified Spec</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5/5 complete</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 COMPLETE</w:t>
            </w:r>
          </w:p>
        </w:tc>
      </w:tr>
      <w:tr>
        <w:tc>
          <w:tcPr>
            <w:tcW w:type="dxa" w:w="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000000"/>
                <w:sz w:val="16"/>
                <w:szCs w:val="16"/>
              </w:rPr>
              <w:t xml:space="preserve">4</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Integration &amp; Documentation</w:t>
            </w:r>
          </w:p>
        </w:tc>
        <w:tc>
          <w:tcPr>
            <w:tcW w:type="dxa" w:w="24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Master Spec (this doc), Changelog, Completion</w:t>
            </w:r>
          </w:p>
        </w:tc>
        <w:tc>
          <w:tcPr>
            <w:tcW w:type="dxa" w:w="20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3/3 complete</w:t>
            </w:r>
          </w:p>
        </w:tc>
        <w:tc>
          <w:tcPr>
            <w:tcW w:type="dxa" w:w="216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bCs/>
                <w:i w:val="false"/>
                <w:iCs w:val="false"/>
                <w:color w:val="2E7D32"/>
                <w:sz w:val="16"/>
                <w:szCs w:val="16"/>
              </w:rPr>
              <w:t xml:space="preserve">✔ COMPLETE</w:t>
            </w:r>
          </w:p>
        </w:tc>
      </w:tr>
    </w:tbl>
    <w:p>
      <w:pPr>
        <w:spacing w:after="160"/>
      </w:pPr>
    </w:p>
    <w:p>
      <w:pPr>
        <w:pStyle w:val="Heading2"/>
      </w:pPr>
      <w:r>
        <w:t xml:space="preserve">8.3 Remaining GTM Deliverables</w:t>
      </w:r>
    </w:p>
    <w:p>
      <w:pPr>
        <w:spacing w:after="110" w:line="270"/>
      </w:pPr>
      <w:r>
        <w:rPr>
          <w:rFonts w:ascii="Arial" w:cs="Arial" w:eastAsia="Arial" w:hAnsi="Arial"/>
          <w:sz w:val="20"/>
          <w:szCs w:val="20"/>
        </w:rPr>
        <w:t xml:space="preserve">The following deliverables from the Phase 4 plan (TR-2026-030 §5.4) are staged for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2480"/>
        <w:gridCol w:w="2480"/>
      </w:tblGrid>
      <w:tr>
        <w:tc>
          <w:tcPr>
            <w:tcW w:type="dxa" w:w="6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w:t>
            </w:r>
          </w:p>
        </w:tc>
        <w:tc>
          <w:tcPr>
            <w:tcW w:type="dxa" w:w="380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Deliverable</w:t>
            </w:r>
          </w:p>
        </w:tc>
        <w:tc>
          <w:tcPr>
            <w:tcW w:type="dxa" w:w="24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Format</w:t>
            </w:r>
          </w:p>
        </w:tc>
        <w:tc>
          <w:tcPr>
            <w:tcW w:type="dxa" w:w="2480"/>
            <w:tcBorders>
              <w:top w:val="single" w:color="CCCCCC" w:sz="1"/>
              <w:left w:val="single" w:color="CCCCCC" w:sz="1"/>
              <w:bottom w:val="single" w:color="CCCCCC" w:sz="1"/>
              <w:right w:val="single" w:color="CCCCCC" w:sz="1"/>
            </w:tcBorders>
            <w:shd w:fill="1B2A4A" w:val="clear"/>
            <w:tcMar>
              <w:top w:type="dxa" w:w="70"/>
              <w:left w:type="dxa" w:w="110"/>
              <w:bottom w:type="dxa" w:w="70"/>
              <w:right w:type="dxa" w:w="110"/>
            </w:tcMar>
            <w:vAlign w:val="center"/>
          </w:tcPr>
          <w:p>
            <w:r>
              <w:rPr>
                <w:rFonts w:ascii="Arial" w:cs="Arial" w:eastAsia="Arial" w:hAnsi="Arial"/>
                <w:b/>
                <w:bCs/>
                <w:color w:val="FFFFFF"/>
                <w:sz w:val="16"/>
                <w:szCs w:val="16"/>
              </w:rPr>
              <w:t xml:space="preserve">Status</w:t>
            </w:r>
          </w:p>
        </w:tc>
      </w:tr>
      <w:tr>
        <w:tc>
          <w:tcPr>
            <w:tcW w:type="dxa" w:w="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4.2</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Control Registry (machine-readable)</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JSON + XLSX</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E65100"/>
                <w:sz w:val="16"/>
                <w:szCs w:val="16"/>
              </w:rPr>
              <w:t xml:space="preserve">Ready for generation</w:t>
            </w:r>
          </w:p>
        </w:tc>
      </w:tr>
      <w:tr>
        <w:tc>
          <w:tcPr>
            <w:tcW w:type="dxa" w:w="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4.3</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Master Crosswalk Matrix (machine-readable)</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JSON + YAML + XLSX</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E65100"/>
                <w:sz w:val="16"/>
                <w:szCs w:val="16"/>
              </w:rPr>
              <w:t xml:space="preserve">Ready for generation</w:t>
            </w:r>
          </w:p>
        </w:tc>
      </w:tr>
      <w:tr>
        <w:tc>
          <w:tcPr>
            <w:tcW w:type="dxa" w:w="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4.4</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OPA/Rego Bundle Package v2 (complete)</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.rego files</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E65100"/>
                <w:sz w:val="16"/>
                <w:szCs w:val="16"/>
              </w:rPr>
              <w:t xml:space="preserve">Spec complete; code gen ready</w:t>
            </w:r>
          </w:p>
        </w:tc>
      </w:tr>
      <w:tr>
        <w:tc>
          <w:tcPr>
            <w:tcW w:type="dxa" w:w="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4.6</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GTM One-Pager: "Why ARHIA v11.4"</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PDF</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E65100"/>
                <w:sz w:val="16"/>
                <w:szCs w:val="16"/>
              </w:rPr>
              <w:t xml:space="preserve">Ready for design</w:t>
            </w:r>
          </w:p>
        </w:tc>
      </w:tr>
      <w:tr>
        <w:tc>
          <w:tcPr>
            <w:tcW w:type="dxa" w:w="6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4.7</w:t>
            </w:r>
          </w:p>
        </w:tc>
        <w:tc>
          <w:tcPr>
            <w:tcW w:type="dxa" w:w="380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ICAIF 2026 Paper Supplement</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000000"/>
                <w:sz w:val="16"/>
                <w:szCs w:val="16"/>
              </w:rPr>
              <w:t xml:space="preserve">LaTeX / PDF</w:t>
            </w:r>
          </w:p>
        </w:tc>
        <w:tc>
          <w:tcPr>
            <w:tcW w:type="dxa" w:w="2480"/>
            <w:tcBorders>
              <w:top w:val="single" w:color="CCCCCC" w:sz="1"/>
              <w:left w:val="single" w:color="CCCCCC" w:sz="1"/>
              <w:bottom w:val="single" w:color="CCCCCC" w:sz="1"/>
              <w:right w:val="single" w:color="CCCCCC" w:sz="1"/>
            </w:tcBorders>
            <w:tcMar>
              <w:top w:type="dxa" w:w="70"/>
              <w:left w:type="dxa" w:w="110"/>
              <w:bottom w:type="dxa" w:w="70"/>
              <w:right w:type="dxa" w:w="110"/>
            </w:tcMar>
            <w:vAlign w:val="center"/>
          </w:tcPr>
          <w:p>
            <w:r>
              <w:rPr>
                <w:rFonts w:ascii="Arial" w:cs="Arial" w:eastAsia="Arial" w:hAnsi="Arial"/>
                <w:b w:val="false"/>
                <w:bCs w:val="false"/>
                <w:i w:val="false"/>
                <w:iCs w:val="false"/>
                <w:color w:val="E65100"/>
                <w:sz w:val="16"/>
                <w:szCs w:val="16"/>
              </w:rPr>
              <w:t xml:space="preserve">Ready for update</w:t>
            </w:r>
          </w:p>
        </w:tc>
      </w:tr>
    </w:tbl>
    <w:p>
      <w:pPr>
        <w:spacing w:after="200"/>
      </w:pPr>
    </w:p>
    <w:p>
      <w:pPr>
        <w:pBdr>
          <w:top w:val="single" w:color="1B2A4A" w:sz="6" w:space="8"/>
          <w:bottom w:val="single" w:color="1B2A4A" w:sz="6" w:space="8"/>
        </w:pBdr>
        <w:spacing w:after="200" w:before="300"/>
        <w:jc w:val="center"/>
      </w:pPr>
      <w:r>
        <w:rPr>
          <w:rFonts w:ascii="Arial" w:cs="Arial" w:eastAsia="Arial" w:hAnsi="Arial"/>
          <w:b/>
          <w:bCs/>
          <w:color w:val="1B2A4A"/>
          <w:sz w:val="28"/>
          <w:szCs w:val="28"/>
        </w:rPr>
        <w:t xml:space="preserve">ARHIA v11.4 SPECIFICATION COMPLETE</w:t>
      </w:r>
    </w:p>
    <w:p>
      <w:pPr>
        <w:spacing w:after="100"/>
        <w:jc w:val="center"/>
      </w:pPr>
      <w:r>
        <w:rPr>
          <w:rFonts w:ascii="Arial" w:cs="Arial" w:eastAsia="Arial" w:hAnsi="Arial"/>
          <w:i/>
          <w:iCs/>
          <w:color w:val="2E75B6"/>
          <w:sz w:val="22"/>
          <w:szCs w:val="22"/>
        </w:rPr>
        <w:t xml:space="preserve">"ARISE defines what. NIST defines why. CSA ATF defines how much. ARHIA executes all three."</w:t>
      </w:r>
    </w:p>
    <w:p>
      <w:pPr>
        <w:spacing w:after="200"/>
        <w:jc w:val="center"/>
      </w:pPr>
      <w:r>
        <w:rPr>
          <w:rFonts w:ascii="Arial" w:cs="Arial" w:eastAsia="Arial" w:hAnsi="Arial"/>
          <w:color w:val="666666"/>
          <w:sz w:val="16"/>
          <w:szCs w:val="16"/>
        </w:rPr>
        <w:t xml:space="preserve">© 2026 Sinergia Consulting Group S.A.S. All rights reserved.</w:t>
      </w:r>
    </w:p>
    <w:p>
      <w:pPr>
        <w:pBdr>
          <w:top w:val="single" w:color="1B2A4A" w:sz="3" w:space="6"/>
          <w:bottom w:val="single" w:color="1B2A4A" w:sz="3" w:space="6"/>
        </w:pBdr>
        <w:jc w:val="center"/>
      </w:pPr>
      <w:r>
        <w:rPr>
          <w:rFonts w:ascii="Arial" w:cs="Arial" w:eastAsia="Arial" w:hAnsi="Arial"/>
          <w:i/>
          <w:iCs/>
          <w:color w:val="666666"/>
          <w:sz w:val="16"/>
          <w:szCs w:val="16"/>
        </w:rPr>
        <w:t xml:space="preserve">End of Document — TR-2026-034 — ARHIA v11.4 Master Specification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Sinergia Consulting Group S.A.S. — Confidential —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3" w:space="3"/>
      </w:pBdr>
      <w:tabs>
        <w:tab w:val="right" w:pos="9026"/>
      </w:tabs>
    </w:pPr>
    <w:r>
      <w:rPr>
        <w:rFonts w:ascii="Arial" w:cs="Arial" w:eastAsia="Arial" w:hAnsi="Arial"/>
        <w:i/>
        <w:iCs/>
        <w:color w:val="666666"/>
        <w:sz w:val="14"/>
        <w:szCs w:val="14"/>
      </w:rPr>
      <w:t xml:space="preserve">ARHIA v11.4 — Master Specification</w:t>
    </w:r>
    <w:r>
      <w:rPr>
        <w:rFonts w:ascii="Arial" w:cs="Arial" w:eastAsia="Arial" w:hAnsi="Arial"/>
        <w:i/>
        <w:iCs/>
        <w:color w:val="666666"/>
        <w:sz w:val="14"/>
        <w:szCs w:val="14"/>
      </w:rPr>
      <w:t xml:space="preserve">	TR-2026-034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B2A4A"/>
      <w:sz w:val="34"/>
      <w:szCs w:val="34"/>
    </w:rPr>
  </w:style>
  <w:style w:type="paragraph" w:styleId="Heading2">
    <w:name w:val="Heading 2"/>
    <w:basedOn w:val="Normal"/>
    <w:next w:val="Normal"/>
    <w:qFormat/>
    <w:pPr>
      <w:spacing w:after="15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10" w:before="20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2026-04-03T22:11:27.570Z</dcterms:created>
  <dcterms:modified xsi:type="dcterms:W3CDTF">2026-04-03T22:11:27.570Z</dcterms:modified>
</cp:coreProperties>
</file>

<file path=docProps/custom.xml><?xml version="1.0" encoding="utf-8"?>
<Properties xmlns="http://schemas.openxmlformats.org/officeDocument/2006/custom-properties" xmlns:vt="http://schemas.openxmlformats.org/officeDocument/2006/docPropsVTypes"/>
</file>