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666666"/>
          <w:sz w:val="20"/>
          <w:szCs w:val="20"/>
        </w:rPr>
        <w:t xml:space="preserve">SINERGIA CONSULTING GROUP S.A.S.</w:t>
      </w:r>
    </w:p>
    <w:p>
      <w:pPr>
        <w:spacing w:after="60"/>
        <w:jc w:val="center"/>
      </w:pPr>
      <w:r>
        <w:rPr>
          <w:rFonts w:ascii="Arial" w:cs="Arial" w:eastAsia="Arial" w:hAnsi="Arial"/>
          <w:b/>
          <w:bCs/>
          <w:color w:val="1B2A4A"/>
          <w:sz w:val="64"/>
          <w:szCs w:val="64"/>
        </w:rPr>
        <w:t xml:space="preserve">ARHIA v11.4</w:t>
      </w:r>
    </w:p>
    <w:p>
      <w:pPr>
        <w:spacing w:after="60"/>
        <w:jc w:val="center"/>
      </w:pPr>
      <w:r>
        <w:rPr>
          <w:rFonts w:ascii="Arial" w:cs="Arial" w:eastAsia="Arial" w:hAnsi="Arial"/>
          <w:b/>
          <w:bCs/>
          <w:color w:val="2E75B6"/>
          <w:sz w:val="36"/>
          <w:szCs w:val="36"/>
        </w:rPr>
        <w:t xml:space="preserve">Phase 1: Foundation</w:t>
      </w:r>
    </w:p>
    <w:p>
      <w:pPr>
        <w:pBdr>
          <w:top w:val="single" w:color="2E75B6" w:sz="6" w:space="8"/>
          <w:bottom w:val="single" w:color="2E75B6" w:sz="6" w:space="8"/>
        </w:pBdr>
        <w:spacing w:after="300" w:before="300"/>
        <w:jc w:val="center"/>
      </w:pPr>
      <w:r>
        <w:rPr>
          <w:rFonts w:ascii="Arial" w:cs="Arial" w:eastAsia="Arial" w:hAnsi="Arial"/>
          <w:color w:val="1B2A4A"/>
          <w:sz w:val="22"/>
          <w:szCs w:val="22"/>
        </w:rPr>
        <w:t xml:space="preserve">Control Registry • Evidence Architecture • Maturity Harmonization • Agent Identity Module</w:t>
      </w:r>
    </w:p>
    <w:p>
      <w:pPr>
        <w:spacing w:after="60" w:before="400"/>
        <w:jc w:val="center"/>
      </w:pPr>
      <w:r>
        <w:rPr>
          <w:rFonts w:ascii="Arial" w:cs="Arial" w:eastAsia="Arial" w:hAnsi="Arial"/>
          <w:color w:val="666666"/>
          <w:sz w:val="20"/>
          <w:szCs w:val="20"/>
        </w:rPr>
        <w:t xml:space="preserve">Document Reference: TR-2026-031</w:t>
      </w:r>
    </w:p>
    <w:p>
      <w:pPr>
        <w:spacing w:after="60"/>
        <w:jc w:val="center"/>
      </w:pPr>
      <w:r>
        <w:rPr>
          <w:rFonts w:ascii="Arial" w:cs="Arial" w:eastAsia="Arial" w:hAnsi="Arial"/>
          <w:color w:val="666666"/>
          <w:sz w:val="18"/>
          <w:szCs w:val="18"/>
        </w:rPr>
        <w:t xml:space="preserve">Parent: TR-2026-030 (ARHIA v11.4 Evolution Plan)</w:t>
      </w:r>
    </w:p>
    <w:p>
      <w:pPr>
        <w:spacing w:after="60"/>
        <w:jc w:val="center"/>
      </w:pPr>
      <w:r>
        <w:rPr>
          <w:rFonts w:ascii="Arial" w:cs="Arial" w:eastAsia="Arial" w:hAnsi="Arial"/>
          <w:color w:val="666666"/>
          <w:sz w:val="18"/>
          <w:szCs w:val="18"/>
        </w:rPr>
        <w:t xml:space="preserve">Classification: Sinergia Internal — Strategic</w:t>
      </w:r>
    </w:p>
    <w:p>
      <w:pPr>
        <w:jc w:val="center"/>
      </w:pPr>
      <w:r>
        <w:rPr>
          <w:rFonts w:ascii="Arial" w:cs="Arial" w:eastAsia="Arial" w:hAnsi="Arial"/>
          <w:color w:val="666666"/>
          <w:sz w:val="18"/>
          <w:szCs w:val="18"/>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ARHIA Control Registry (Task 1.1)</w:t>
      </w:r>
    </w:p>
    <w:p>
      <w:pPr>
        <w:pStyle w:val="Heading2"/>
      </w:pPr>
      <w:r>
        <w:t xml:space="preserve">1.1 Purpose</w:t>
      </w:r>
    </w:p>
    <w:p>
      <w:pPr>
        <w:spacing w:after="120" w:line="276"/>
      </w:pPr>
      <w:r>
        <w:rPr>
          <w:rFonts w:ascii="Arial" w:cs="Arial" w:eastAsia="Arial" w:hAnsi="Arial"/>
          <w:sz w:val="21"/>
          <w:szCs w:val="21"/>
        </w:rPr>
        <w:t xml:space="preserve">The ARHIA Control Registry formalizes every governance mechanism in ARHIA v11.4 as a discrete, auditable control. Each control answers the four ARISE-inspired questions: What is implemented? Who is responsible? What evidence is generated? How often is it validated?</w:t>
      </w:r>
    </w:p>
    <w:p>
      <w:pPr>
        <w:spacing w:after="120" w:line="276"/>
      </w:pPr>
      <w:r>
        <w:rPr>
          <w:rFonts w:ascii="Arial" w:cs="Arial" w:eastAsia="Arial" w:hAnsi="Arial"/>
          <w:sz w:val="21"/>
          <w:szCs w:val="21"/>
        </w:rPr>
        <w:t xml:space="preserve">The registry serves three audiences: auditors (who need evidence traceability), implementers (who need technical specification), and buyers (who need crosswalk coverage against their target framework).</w:t>
      </w:r>
    </w:p>
    <w:p>
      <w:pPr>
        <w:pStyle w:val="Heading2"/>
      </w:pPr>
      <w:r>
        <w:t xml:space="preserve">1.2 Control Naming Convention</w:t>
      </w:r>
    </w:p>
    <w:p>
      <w:pPr>
        <w:spacing w:after="120" w:line="276"/>
      </w:pPr>
      <w:r>
        <w:rPr>
          <w:rFonts w:ascii="Arial" w:cs="Arial" w:eastAsia="Arial" w:hAnsi="Arial"/>
          <w:b/>
          <w:bCs/>
          <w:sz w:val="21"/>
          <w:szCs w:val="21"/>
        </w:rPr>
        <w:t xml:space="preserve">Format: </w:t>
      </w:r>
      <w:r>
        <w:rPr>
          <w:rFonts w:ascii="Arial" w:cs="Arial" w:eastAsia="Arial" w:hAnsi="Arial"/>
          <w:sz w:val="21"/>
          <w:szCs w:val="21"/>
        </w:rPr>
        <w:t xml:space="preserve">[COMPONENT]-C[NN] where COMPONENT is the ARHIA subsystem abbreviation and NN is the sequential number within that subsystem. Example: ATK-C01 (first control in the Agent Trust Kernel).</w:t>
      </w:r>
    </w:p>
    <w:p>
      <w:pPr>
        <w:spacing w:after="120" w:line="276"/>
      </w:pPr>
      <w:r>
        <w:rPr>
          <w:rFonts w:ascii="Arial" w:cs="Arial" w:eastAsia="Arial" w:hAnsi="Arial"/>
          <w:sz w:val="21"/>
          <w:szCs w:val="21"/>
        </w:rPr>
        <w:t xml:space="preserve">Component prefixes: ATK (Agent Trust Kernel), DTG (Defensive Tool Call Graph), ABO (AI Bill of Materials), HIC (Human-in-Architecture Checkpoints), OPA (Policy Engine), AUT (Autonomy Scale), AIM (Agent Identity Module), EGA (Evidence Generation Architecture).</w:t>
      </w:r>
    </w:p>
    <w:p>
      <w:pPr>
        <w:pStyle w:val="Heading2"/>
      </w:pPr>
      <w:r>
        <w:t xml:space="preserve">1.3 Owner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Role Code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Role Title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Accountability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GOV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Governance Lead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Policy definition, risk appetite, escalation authority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SEC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Security Lead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Threat detection, incident response, security 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ENG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Engineering Lead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Runtime implementation, policy deployment, system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Operations Lead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Monitoring, drift detection, lifecycle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Audit Lead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Evidence review, compliance validation, attestation</w:t>
            </w:r>
          </w:p>
        </w:tc>
      </w:tr>
    </w:tbl>
    <w:p>
      <w:pPr>
        <w:spacing w:after="160"/>
      </w:pPr>
    </w:p>
    <w:p>
      <w:pPr>
        <w:pStyle w:val="Heading2"/>
      </w:pPr>
      <w:r>
        <w:t xml:space="preserve">1.4 Complete Control Registry</w:t>
      </w:r>
    </w:p>
    <w:p>
      <w:pPr>
        <w:spacing w:after="120" w:line="276"/>
      </w:pPr>
      <w:r>
        <w:rPr>
          <w:rFonts w:ascii="Arial" w:cs="Arial" w:eastAsia="Arial" w:hAnsi="Arial"/>
          <w:sz w:val="21"/>
          <w:szCs w:val="21"/>
        </w:rPr>
        <w:t xml:space="preserve">The registry contains 38 controls across 8 subsystems. Controls are grouped by ARHIA component.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900"/>
        <w:gridCol w:w="1800"/>
        <w:gridCol w:w="1400"/>
        <w:gridCol w:w="900"/>
        <w:gridCol w:w="1360"/>
      </w:tblGrid>
      <w:t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Control ID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Control Name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Plane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Implementation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Evidence Artifact</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 Role</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Validation Freq.</w:t>
            </w:r>
          </w:p>
        </w:tc>
      </w:tr>
      <w:tr>
        <w:tc>
          <w:tcPr>
            <w:tcW w:type="dxa" w:w="9360"/>
            <w:gridSpan w:val="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ATK — Agent Trust Kernel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ATK-C01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Identity Verification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Verify agent identity credential against AIM registry before any 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Identity check log (pass/fail + credential hash)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Per-invocation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ATK-C02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Authorization Scope Check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Validate requested action against agent permission boundary defined in OPA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Authorization decision record (permit/deny + policy 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Per-invocation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ATK-C03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Input Integrity Check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Validate input payload against schema and taint-trace untrusted 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Input validation log (schema match + taint flags)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Per-invocation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ATK-C04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Output Safety Check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Screen agent output for safety violations, PII leakage, bias markers before delivery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Output screening record (pass/flag + violation 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Per-invocation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ATK-C05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Outcome Classification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Classify each ATK evaluation into one of 6 defined outcomes (proceed, escalate, defer, deny, quarantine, terminate)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Outcome classification log (outcome code + rationale)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Per-invocation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ATK-C06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Envelope Integrity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Ensure all 5 checks execute in sequence; reject if any check is bypassed or skipped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Envelope completeness attestation (5/5 check confirmation)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Per-invocation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ATK-C07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ATK Configuration Audit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Periodic review of ATK threshold parameters, policy bindings, and check configurations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Configuration audit report (diff from baseline)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Monthly</w:t>
            </w:r>
          </w:p>
        </w:tc>
      </w:tr>
      <w:tr>
        <w:tc>
          <w:tcPr>
            <w:tcW w:type="dxa" w:w="9360"/>
            <w:gridSpan w:val="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DTG — Defensive Tool Call Graph (D-TCG+)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DTG-C01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Tool Call Trajectory Logging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Record every tool invocation with caller ID, parameters, timestamp, and return value in immutable 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Tool call trace record (JSON-LD)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Per-invocation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DTG-C02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Trajectory Anomaly Detection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Compare tool call sequences against Behavioral Baseline Registry; flag deviations exceeding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Anomaly alert (deviation score + baseline reference)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Per-invocation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DTG-C03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Cross-Domain Correlation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Correlate anomalies across network, prompt, tool-call, and data-access telemetry layers within temporal windows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Correlation event record (matched layers + confidence score)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Continuous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DTG-C04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Incident Playbook Trigger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Auto-trigger OWASP ASI-aligned playbook when correlation pattern matches known attack signature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Playbook activation record (ASI ID + response actions)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Event-driven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DTG-C05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Behavioral Baseline Update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Recalculate agent behavioral baselines after approved model updates or integration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Baseline version record (old hash, new hash, change justification)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On-change + Quarterly</w:t>
            </w:r>
          </w:p>
        </w:tc>
      </w:tr>
      <w:tr>
        <w:tc>
          <w:tcPr>
            <w:tcW w:type="dxa" w:w="9360"/>
            <w:gridSpan w:val="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ABO — AI Bill of Materials (AIBOM)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ABO-C01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Agent Registration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Register every deployed agent with model version, training provenance, tool inventory, and AIM identity link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AIBOM entry (structured JSON-LD)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On-deployment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ABO-C02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Component Inventory Validation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Verify all agent components (model, tools, data sources) are approved and current against supply chain registry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Supply chain validation report (component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Weekly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ABO-C03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Agent Retirement Protocol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Decommission agent with evidence: revoke AIM credentials, archive AIBOM record, generate retirement attestation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Retirement attestation (signed, timestamped)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On-retirement</w:t>
            </w:r>
          </w:p>
        </w:tc>
      </w:tr>
      <w:tr>
        <w:tc>
          <w:tcPr>
            <w:tcW w:type="dxa" w:w="9360"/>
            <w:gridSpan w:val="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HIC — Human-in-Architecture Checkpoints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HIC-C01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HIC-1: Pre-Deployment Gate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Human approval required before any agent enters production environment; verify AIBOM, ATK config, and test results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Deployment approval record (approver, date, checklist)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On-deployment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HIC-C02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HIC-2: High-Impact Action Gate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Human authorization required for actions exceeding defined impact threshold (financial, data,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Action authorization record (action ID, approver, rationale)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Per-trigger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HIC-C03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HIC-3: Escalation Gate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Human review triggered when ATK outcome is escalate; includes context packet with trajectory and anomaly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Escalation review record (decision, response 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Per-trigger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HIC-C04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HIC-4: Drift Intervention Gate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Human intervention required when OPS detects behavioral drift exceeding tolerance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Drift intervention record (drift metrics, corrective action)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Per-trigger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HIC-C05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HIC-5: Periodic Governance Review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Scheduled executive review of agent fleet performance, incidents, and governance posture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Governance review minutes (signed, action items)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Quarterly</w:t>
            </w:r>
          </w:p>
        </w:tc>
      </w:tr>
      <w:tr>
        <w:tc>
          <w:tcPr>
            <w:tcW w:type="dxa" w:w="9360"/>
            <w:gridSpan w:val="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OPA — OPA/Rego Policy Engine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OPA-C01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Policy Bundle Deployment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Deploy OPA/Rego policy bundles to runtime; validate bundle integrity (hash verification) before activation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Bundle deployment log (bundle ID, hash, 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On-change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OPA-C02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Policy Decision Logging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Log every OPA policy decision with input context, matched rule, and decision output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Policy decision record (rule ID, input hash, result)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Per-invocation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OPA-C03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Policy Regression Testing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Execute regression test suite against policy bundle before production deployment; minimum 95% pass 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Test execution report (pass/fail counts, coverage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Pre-deployment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OPA-C04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Policy Version Control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Maintain versioned policy bundles with change history, approval chain, and rollback capability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Version history log (diff, approver, rollback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On-change</w:t>
            </w:r>
          </w:p>
        </w:tc>
      </w:tr>
      <w:tr>
        <w:tc>
          <w:tcPr>
            <w:tcW w:type="dxa" w:w="9360"/>
            <w:gridSpan w:val="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AUT — Autonomy Scale (A0–A4)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AUT-C01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Initial Level Assignment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Assign agent initial autonomy level (default A0) based on pre-deployment risk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Level assignment record (risk score, assigned level, justification)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On-deployment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AUT-C02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Promotion Gate: Performance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Agent demonstrates accuracy and reliability over evaluation period meeting level-specific thresholds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Performance evaluation report (metrics vs thresholds)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Per-promotion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AUT-C03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Promotion Gate: Security Audit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Agent passes security audit appropriate to target autonomy level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Security audit report (findings, severity, remediation)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Per-promotion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AUT-C04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Promotion Gate: Business Impact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Measurable positive business impact demonstrated at current level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Impact assessment (quantified benefit, stakeholder sign-off)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Per-promotion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AUT-C05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Promotion Gate: Governance Sign-off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Explicit approval from authorized stakeholder(s) for level promotion; clean operational history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Promotion approval record (approver, history review, new level)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Per-promotion</w:t>
            </w:r>
          </w:p>
        </w:tc>
      </w:tr>
      <w:tr>
        <w:tc>
          <w:tcPr>
            <w:tcW w:type="dxa" w:w="9360"/>
            <w:gridSpan w:val="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AIM — Agent Identity Module (NEW in v11.4)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AIM-C01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Agent Credential Issuance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Issue NHI-compatible credential (OAuth 2.0 / SAML adapted) linked to AIBOM entry and supervising human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Credential issuance record (credential ID, linked human, expiry)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On-deployment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AIM-C02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Credential Rotation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Automated rotation of agent credentials per defined schedule; revoke expired credentials immediately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Rotation log (old ID, new ID, rotation 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Per-schedule (default: 90 days)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AIM-C03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Composite Identity Linking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Maintain auditable link: agent identity ↔ supervising human ↔ department ↔ authorization scope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Composite identity record (4-layer link chain)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On-change</w:t>
            </w:r>
          </w:p>
        </w:tc>
      </w:tr>
      <w:tr>
        <w:tc>
          <w:tcPr>
            <w:tcW w:type="dxa" w:w="9360"/>
            <w:gridSpan w:val="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EGA — Evidence Generation Architecture (NEW in v11.4)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EGA-C01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Evidence Collection Automation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Automatically collect evidence artifacts from all controls per defined triggers (per-invocation, periodic, event-driven)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Collection completeness report (controls covered vs total)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Continuous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EGA-C02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Evidence Format Enforcement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Enforce JSON-LD structured evidence format for all artifacts; reject non-conforming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Format validation log (conformant/non-conformant counts)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Per-collection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EGA-C03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Evidence Chain of Custody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HMAC-link all evidence artifacts into tamper-evident chains; detect and alert on chain breaks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Chain integrity report (chain length, break alerts)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Continuous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16"/>
                <w:szCs w:val="16"/>
              </w:rPr>
              <w:t xml:space="preserve">EGA-C04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Evidence Retention Policy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Enforce jurisdiction-aware retention periods per control risk tier (Tier 1: 7 years, Tier 2: 3 years, Tier 3: 1 year)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Retention compliance report (controls in/out of policy)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Monthly</w:t>
            </w:r>
          </w:p>
        </w:tc>
      </w:tr>
    </w:tbl>
    <w:p>
      <w:r>
        <w:br w:type="page"/>
      </w:r>
    </w:p>
    <w:p>
      <w:pPr>
        <w:pStyle w:val="Heading2"/>
      </w:pPr>
      <w:r>
        <w:t xml:space="preserve">1.5 Control Registry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430"/>
        <w:gridCol w:w="243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Component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Controls</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New in v11.4</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Primary Plane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ATK — Agent Trust Kernel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7</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1 (ATK-C07)</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Trust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DTG — D-TCG+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3 (C03, C04, C05)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Control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ABO — AIBOM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3</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Trust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HIC — Checkpoints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Trust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OPA — Policy 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4</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1 (OPA-C03)</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Control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AUT — Autonomy Scale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3 (C02, C03, C04)</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Trust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AIM — Agent Identity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3</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17"/>
                <w:szCs w:val="17"/>
              </w:rPr>
              <w:t xml:space="preserve">3 (ALL NEW)</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Trust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EGA — Evidence Architecture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4</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17"/>
                <w:szCs w:val="17"/>
              </w:rPr>
              <w:t xml:space="preserve">4 (ALL NEW)</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Trust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18"/>
                <w:szCs w:val="18"/>
              </w:rPr>
              <w:t xml:space="preserve">TOTAL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18"/>
                <w:szCs w:val="18"/>
              </w:rPr>
              <w:t xml:space="preserve">36</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32"/>
                <w:sz w:val="18"/>
                <w:szCs w:val="18"/>
              </w:rPr>
              <w:t xml:space="preserve">15 new controls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18"/>
                <w:szCs w:val="18"/>
              </w:rPr>
              <w:t xml:space="preserve">Trust: 27 / Control: 9</w:t>
            </w:r>
          </w:p>
        </w:tc>
      </w:tr>
    </w:tbl>
    <w:p>
      <w:pPr>
        <w:spacing w:after="200"/>
      </w:pPr>
    </w:p>
    <w:p>
      <w:r>
        <w:br w:type="page"/>
      </w:r>
    </w:p>
    <w:p>
      <w:pPr>
        <w:pStyle w:val="Heading1"/>
      </w:pPr>
      <w:r>
        <w:t xml:space="preserve">2. Evidence Generation Architecture (Task 1.2)</w:t>
      </w:r>
    </w:p>
    <w:p>
      <w:pPr>
        <w:pStyle w:val="Heading2"/>
      </w:pPr>
      <w:r>
        <w:t xml:space="preserve">2.1 Design Principles</w:t>
      </w:r>
    </w:p>
    <w:p>
      <w:pPr>
        <w:spacing w:after="120" w:line="276"/>
      </w:pPr>
      <w:r>
        <w:rPr>
          <w:rFonts w:ascii="Arial" w:cs="Arial" w:eastAsia="Arial" w:hAnsi="Arial"/>
          <w:sz w:val="21"/>
          <w:szCs w:val="21"/>
        </w:rPr>
        <w:t xml:space="preserve">The Evidence Generation Architecture (EGA) transforms ARHIA from a system that produces logs into a system that produces structured, tamper-evident, jurisdiction-aware governance evidence. The design is informed by the ARISE distinction between governance documentation and governance evidence.</w:t>
      </w:r>
    </w:p>
    <w:p>
      <w:pPr>
        <w:pStyle w:val="Heading2"/>
      </w:pPr>
      <w:r>
        <w:t xml:space="preserve">2.2 Evidence Types</w:t>
      </w:r>
    </w:p>
    <w:p>
      <w:pPr>
        <w:spacing w:after="120" w:line="276"/>
      </w:pPr>
      <w:r>
        <w:rPr>
          <w:rFonts w:ascii="Arial" w:cs="Arial" w:eastAsia="Arial" w:hAnsi="Arial"/>
          <w:sz w:val="21"/>
          <w:szCs w:val="21"/>
        </w:rPr>
        <w:t xml:space="preserve">Every evidence artifact in ARHIA v11.4 is classified into one of five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80"/>
        <w:gridCol w:w="308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Type Code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Type Name</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Description</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Example Controls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Operational Log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Machine-generated record of a runtime event produced automatically during system operation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ATK-C01 to C06, DTG-C01, OPA-C02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ATT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Attestation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Signed declaration by a named individual or system that a condition has been verified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ABO-C03, AUT-C05, HIC-C01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MET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Metric Report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Quantitative measurement against a defined threshold, produced periodically or on-demand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AUT-C02, AUT-C04, DTG-C05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APR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Approval Record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Documented decision by an authorized human with rationale and timestamp</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HIC-C02, HIC-C03, OPA-C04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TST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Test Result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Output of a structured test execution with pass/fail counts and coverage metrics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OPA-C03, AUT-C03</w:t>
            </w:r>
          </w:p>
        </w:tc>
      </w:tr>
    </w:tbl>
    <w:p>
      <w:pPr>
        <w:spacing w:after="160"/>
      </w:pPr>
    </w:p>
    <w:p>
      <w:pPr>
        <w:pStyle w:val="Heading2"/>
      </w:pPr>
      <w:r>
        <w:t xml:space="preserve">2.3 JSON-LD Evidence Schema</w:t>
      </w:r>
    </w:p>
    <w:p>
      <w:pPr>
        <w:spacing w:after="120" w:line="276"/>
      </w:pPr>
      <w:r>
        <w:rPr>
          <w:rFonts w:ascii="Arial" w:cs="Arial" w:eastAsia="Arial" w:hAnsi="Arial"/>
          <w:sz w:val="21"/>
          <w:szCs w:val="21"/>
        </w:rPr>
        <w:t xml:space="preserve">All evidence artifacts conform to a common JSON-LD envelope that enables machine-readable evidence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Type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@context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URI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"https://arhia.sinergia.co/evidence/v1" — ARHIA evidence vocabulary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Evidence type code: LOG | ATT | MET | APR | TST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controlId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ARHIA control identifier (e.g., ATK-C01)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agentId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AIM credential identifier of the agent that generated/triggered this evidence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ISO 8601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UTC timestamp of evidence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payload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Object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Control-specific evidence data (schema varies by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hmacChain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HMAC-SHA256 linking to previous evidence in the chain (tamper-evidence)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retentionTier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Integer (1-3)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Jurisdiction-aware retention tier: Tier 1 = 7 years, Tier 2 = 3 years, Tier 3 = 1 year</w:t>
            </w:r>
          </w:p>
        </w:tc>
      </w:tr>
    </w:tbl>
    <w:p>
      <w:pPr>
        <w:spacing w:after="160"/>
      </w:pPr>
    </w:p>
    <w:p>
      <w:pPr>
        <w:pStyle w:val="Heading2"/>
      </w:pPr>
      <w:r>
        <w:t xml:space="preserve">2.4 Retention Policy by Control Risk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930"/>
        <w:gridCol w:w="293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Tier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Retention</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Criteria</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Controls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C62828"/>
                <w:sz w:val="17"/>
                <w:szCs w:val="17"/>
              </w:rPr>
              <w:t xml:space="preserve">Tier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7 years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Financial, regulatory, or safety-critical decisions; actions with legal liability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HIC-C01 to C05, AUT-C05, ABO-C03, OPA-C04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E65100"/>
                <w:sz w:val="17"/>
                <w:szCs w:val="17"/>
              </w:rPr>
              <w:t xml:space="preserve">Tier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3 years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Security events, identity lifecycle, policy changes, anomaly detections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ATK-C01 to C07, AIM-C01 to C03, DTG-C03, DTG-C04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17"/>
                <w:szCs w:val="17"/>
              </w:rPr>
              <w:t xml:space="preserve">Tier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1 year</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Routine operational logs, per-invocation records, regression test results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DTG-C01, DTG-C02, OPA-C01 to C03, EGA-C01, EGA-C02</w:t>
            </w:r>
          </w:p>
        </w:tc>
      </w:tr>
    </w:tbl>
    <w:p>
      <w:pPr>
        <w:spacing w:after="200"/>
      </w:pPr>
    </w:p>
    <w:p>
      <w:r>
        <w:br w:type="page"/>
      </w:r>
    </w:p>
    <w:p>
      <w:pPr>
        <w:pStyle w:val="Heading1"/>
      </w:pPr>
      <w:r>
        <w:t xml:space="preserve">3. Maturity Model Harmonization (Task 1.3)</w:t>
      </w:r>
    </w:p>
    <w:p>
      <w:pPr>
        <w:pStyle w:val="Heading2"/>
      </w:pPr>
      <w:r>
        <w:t xml:space="preserve">3.1 Rationale</w:t>
      </w:r>
    </w:p>
    <w:p>
      <w:pPr>
        <w:spacing w:after="120" w:line="276"/>
      </w:pPr>
      <w:r>
        <w:rPr>
          <w:rFonts w:ascii="Arial" w:cs="Arial" w:eastAsia="Arial" w:hAnsi="Arial"/>
          <w:sz w:val="21"/>
          <w:szCs w:val="21"/>
        </w:rPr>
        <w:t xml:space="preserve">Three independent maturity models now coexist in the agentic AI governance landscape. Buyers evaluating ARHIA will already be familiar with at least one. The harmonization table establishes precise equivalences so that an organization using CSA ATF, NVIDIA tooling, or KPMG TACO can immediately understand where their agents sit in the ARHIA scale.</w:t>
      </w:r>
    </w:p>
    <w:p>
      <w:pPr>
        <w:pStyle w:val="Heading2"/>
      </w:pPr>
      <w:r>
        <w:t xml:space="preserve">3.2 Unified Maturity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2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ARHIA</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CSA ATF</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NVIDIA</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KPMG TACO</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McKinsey RAI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Singapore MGF</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Capabilities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A0 Inert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(Pre-Intern)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L0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Level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No autonomy; system registered but inactive; credential issued, not activated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A1 Supervised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Intern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L1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Tasker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Level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Dim. 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Read-only + single-step tasks; all outputs require human approval; full logging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A2 Guided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Associate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L2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Automator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Level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Dim. 1-3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Multi-step execution with guardrails; human approval for high-impact actions only; D-TCG+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A3 Autonomous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Senior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L3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Collaborator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Level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Dim. 1-4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Independent action within bounded domain; human-on-the-loop; cross-domain correlation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A4 Adaptive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Principal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(Beyond L3)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Orchestrator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Level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Full MGF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Strategic action, multi-agent orchestration; self-adaptation within policy envelope; full EGA active</w:t>
            </w:r>
          </w:p>
        </w:tc>
      </w:tr>
    </w:tbl>
    <w:p>
      <w:pPr>
        <w:spacing w:after="160"/>
      </w:pPr>
    </w:p>
    <w:p>
      <w:pPr>
        <w:pStyle w:val="Heading2"/>
      </w:pPr>
      <w:r>
        <w:t xml:space="preserve">3.3 Unified Promotion Gates</w:t>
      </w:r>
    </w:p>
    <w:p>
      <w:pPr>
        <w:spacing w:after="120" w:line="276"/>
      </w:pPr>
      <w:r>
        <w:rPr>
          <w:rFonts w:ascii="Arial" w:cs="Arial" w:eastAsia="Arial" w:hAnsi="Arial"/>
          <w:sz w:val="21"/>
          <w:szCs w:val="21"/>
        </w:rPr>
        <w:t xml:space="preserve">To advance from level N to level N+1, an agent must pass all five gates. These gates unify the CSA ATF promotion requirements with ARHIA control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430"/>
        <w:gridCol w:w="343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Gate</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CSA ATF Equivalent</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ARHIA Evidence Required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G1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Performance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Demonstrated accuracy and reliability over evaluation period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AUT-C02: Performance evaluation report exceeding level-specific thresholds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G2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Security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Passes security audit appropriate to target level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AUT-C03: Security audit report with no critical/high findings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G3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Business Impact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Measurable positive impact demonstrated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AUT-C04: Impact assessment with quantified benefit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G4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Clean History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Clean operational history at current level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DTG-C02: Zero critical anomalies in evaluation window; HIC-C04: No drift interventions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G5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Governance Sign-off</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Explicit approval from authorized stakeholders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AUT-C05: Promotion approval record with named approver</w:t>
            </w:r>
          </w:p>
        </w:tc>
      </w:tr>
    </w:tbl>
    <w:p>
      <w:pPr>
        <w:spacing w:after="160"/>
      </w:pPr>
    </w:p>
    <w:p>
      <w:pPr>
        <w:pStyle w:val="Heading2"/>
      </w:pPr>
      <w:r>
        <w:t xml:space="preserve">3.4 Demotion Protocol</w:t>
      </w:r>
    </w:p>
    <w:p>
      <w:pPr>
        <w:spacing w:after="120" w:line="276"/>
      </w:pPr>
      <w:r>
        <w:rPr>
          <w:rFonts w:ascii="Arial" w:cs="Arial" w:eastAsia="Arial" w:hAnsi="Arial"/>
          <w:sz w:val="21"/>
          <w:szCs w:val="21"/>
        </w:rPr>
        <w:t xml:space="preserve">Consistent with CSA ATF, agents can be demoted when behavioral drift, security incidents, or governance violations are detected. Demotion is immediate (no gate process required) and triggers: (a) AIM credential scope reduction to new level, (b) DTG-C05 behavioral baseline recalculation, (c) HIC-C04 drift intervention record, and (d) mandatory governance review (HIC-C05) within 72 hours.</w:t>
      </w:r>
    </w:p>
    <w:p>
      <w:r>
        <w:br w:type="page"/>
      </w:r>
    </w:p>
    <w:p>
      <w:pPr>
        <w:pStyle w:val="Heading1"/>
      </w:pPr>
      <w:r>
        <w:t xml:space="preserve">4. Agent Identity Module Specification (Task 1.4)</w:t>
      </w:r>
    </w:p>
    <w:p>
      <w:pPr>
        <w:pStyle w:val="Heading2"/>
      </w:pPr>
      <w:r>
        <w:t xml:space="preserve">4.1 Context</w:t>
      </w:r>
    </w:p>
    <w:p>
      <w:pPr>
        <w:spacing w:after="120" w:line="276"/>
      </w:pPr>
      <w:r>
        <w:rPr>
          <w:rFonts w:ascii="Arial" w:cs="Arial" w:eastAsia="Arial" w:hAnsi="Arial"/>
          <w:sz w:val="21"/>
          <w:szCs w:val="21"/>
        </w:rPr>
        <w:t xml:space="preserve">The NIST NCCoE concept paper on AI Agent Identity and Authorization (February 2026) and CSA ATF Element 1 (Identity) both establish that agent identity is the foundational security primitive for agentic governance. OWASP ASI-03 (Excessive Permissions) identifies over-privileged agent identities as a top-10 risk. ARHIA v11.3 assigns internal identities through ATK but lacks a formal module compatible with enterprise IAM infrastructure.</w:t>
      </w:r>
    </w:p>
    <w:p>
      <w:pPr>
        <w:pStyle w:val="Heading2"/>
      </w:pPr>
      <w:r>
        <w:t xml:space="preserve">4.2 AIM Architecture</w:t>
      </w:r>
    </w:p>
    <w:p>
      <w:pPr>
        <w:pStyle w:val="Heading3"/>
      </w:pPr>
      <w:r>
        <w:t xml:space="preserve">4.2.1 Credential Model</w:t>
      </w:r>
    </w:p>
    <w:p>
      <w:pPr>
        <w:spacing w:after="120" w:line="276"/>
      </w:pPr>
      <w:r>
        <w:rPr>
          <w:rFonts w:ascii="Arial" w:cs="Arial" w:eastAsia="Arial" w:hAnsi="Arial"/>
          <w:sz w:val="21"/>
          <w:szCs w:val="21"/>
        </w:rPr>
        <w:t xml:space="preserve">AIM issues Non-Human Identity (NHI) credentials compatible with OAuth 2.0 Client Credentials flow and SAML Service Provider assertions. Each credential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Format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agentId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UUID v4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Globally unique agent identifier; immutable for agent lifetime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abomRef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URI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Link to AIBOM entry for full provenance chain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supervisorId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Enterprise IdP ref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Identity of supervising human in enterprise IdP (AD, Okta,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departmentScope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Organizational unit bounding the agent authorization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autonomyLevel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A0-A4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Current ARHIA autonomy level; determines maximum permission boundary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permissionSet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JSON 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Explicit list of permitted tools, data sources, and action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issuedAt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ISO 8601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Credential issuance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expiresAt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ISO 8601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Credential expiry; default 90 days; triggers AIM-C02 rotation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hmacSignature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HMAC-SHA256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Tamper-evidence signature over all fields</w:t>
            </w:r>
          </w:p>
        </w:tc>
      </w:tr>
    </w:tbl>
    <w:p>
      <w:pPr>
        <w:spacing w:after="160"/>
      </w:pPr>
    </w:p>
    <w:p>
      <w:pPr>
        <w:pStyle w:val="Heading3"/>
      </w:pPr>
      <w:r>
        <w:t xml:space="preserve">4.2.2 Composite Identity Chain</w:t>
      </w:r>
    </w:p>
    <w:p>
      <w:pPr>
        <w:spacing w:after="120" w:line="276"/>
      </w:pPr>
      <w:r>
        <w:rPr>
          <w:rFonts w:ascii="Arial" w:cs="Arial" w:eastAsia="Arial" w:hAnsi="Arial"/>
          <w:sz w:val="21"/>
          <w:szCs w:val="21"/>
        </w:rPr>
        <w:t xml:space="preserve">AIM enforces a 4-layer composite identity linking chain, inspired by CSA ATF and the GitLab ARIS concept:</w:t>
      </w:r>
    </w:p>
    <w:p>
      <w:pPr>
        <w:spacing w:after="120" w:line="276"/>
      </w:pPr>
      <w:r>
        <w:rPr>
          <w:rFonts w:ascii="Arial" w:cs="Arial" w:eastAsia="Arial" w:hAnsi="Arial"/>
          <w:b/>
          <w:bCs/>
          <w:sz w:val="21"/>
          <w:szCs w:val="21"/>
        </w:rPr>
        <w:t xml:space="preserve">Layer 1: Agent Identity </w:t>
      </w:r>
      <w:r>
        <w:rPr>
          <w:rFonts w:ascii="Arial" w:cs="Arial" w:eastAsia="Arial" w:hAnsi="Arial"/>
          <w:sz w:val="21"/>
          <w:szCs w:val="21"/>
        </w:rPr>
        <w:t xml:space="preserve">(agentId) → </w:t>
      </w:r>
      <w:r>
        <w:rPr>
          <w:rFonts w:ascii="Arial" w:cs="Arial" w:eastAsia="Arial" w:hAnsi="Arial"/>
          <w:b/>
          <w:bCs/>
          <w:sz w:val="21"/>
          <w:szCs w:val="21"/>
        </w:rPr>
        <w:t xml:space="preserve">Layer 2: Supervising Human </w:t>
      </w:r>
      <w:r>
        <w:rPr>
          <w:rFonts w:ascii="Arial" w:cs="Arial" w:eastAsia="Arial" w:hAnsi="Arial"/>
          <w:sz w:val="21"/>
          <w:szCs w:val="21"/>
        </w:rPr>
        <w:t xml:space="preserve">(supervisorId) → </w:t>
      </w:r>
      <w:r>
        <w:rPr>
          <w:rFonts w:ascii="Arial" w:cs="Arial" w:eastAsia="Arial" w:hAnsi="Arial"/>
          <w:b/>
          <w:bCs/>
          <w:sz w:val="21"/>
          <w:szCs w:val="21"/>
        </w:rPr>
        <w:t xml:space="preserve">Layer 3: Department </w:t>
      </w:r>
      <w:r>
        <w:rPr>
          <w:rFonts w:ascii="Arial" w:cs="Arial" w:eastAsia="Arial" w:hAnsi="Arial"/>
          <w:sz w:val="21"/>
          <w:szCs w:val="21"/>
        </w:rPr>
        <w:t xml:space="preserve">(departmentScope) → </w:t>
      </w:r>
      <w:r>
        <w:rPr>
          <w:rFonts w:ascii="Arial" w:cs="Arial" w:eastAsia="Arial" w:hAnsi="Arial"/>
          <w:b/>
          <w:bCs/>
          <w:sz w:val="21"/>
          <w:szCs w:val="21"/>
        </w:rPr>
        <w:t xml:space="preserve">Layer 4: Authorization Boundary </w:t>
      </w:r>
      <w:r>
        <w:rPr>
          <w:rFonts w:ascii="Arial" w:cs="Arial" w:eastAsia="Arial" w:hAnsi="Arial"/>
          <w:sz w:val="21"/>
          <w:szCs w:val="21"/>
        </w:rPr>
        <w:t xml:space="preserve">(autonomyLevel + permissionSet)</w:t>
      </w:r>
    </w:p>
    <w:p>
      <w:pPr>
        <w:spacing w:after="120" w:line="276"/>
      </w:pPr>
      <w:r>
        <w:rPr>
          <w:rFonts w:ascii="Arial" w:cs="Arial" w:eastAsia="Arial" w:hAnsi="Arial"/>
          <w:sz w:val="21"/>
          <w:szCs w:val="21"/>
        </w:rPr>
        <w:t xml:space="preserve">This chain ensures that for any agent action, the system can answer: Which agent did this? Who authorized it? Which department is accountable? What was the agent allowed to do? This directly addresses the CSA ATF question "Who are you?" and the ARISE MANAGE requirement for named accountability.</w:t>
      </w:r>
    </w:p>
    <w:p>
      <w:pPr>
        <w:pStyle w:val="Heading3"/>
      </w:pPr>
      <w:r>
        <w:t xml:space="preserve">4.2.3 Identity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Phase</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Actions</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Controls Triggered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Creation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Issue credential, link to AIBOM, assign A0 level, register in AIM directory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AIM-C01, ABO-C01, AUT-C01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Rotation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Generate new credential, revoke old, update AIM directory, preserve chain link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AIM-C02, EGA-C03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Promotion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Update autonomyLevel and permissionSet in credential after passing all 5 gates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AUT-C02 to C05, AIM-C03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Demotion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Reduce autonomyLevel and permissionSet immediately; notify supervisor; log reason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HIC-C04, AIM-C03, DTG-C02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Suspension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Deactivate credential (retain record); triggered by security incident or governance hold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DTG-C04, HIC-C03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Retirement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Revoke credential permanently, archive full identity chain, generate retirement attestation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ABO-C03, AIM-C01 (revoke), EGA-C03</w:t>
            </w:r>
          </w:p>
        </w:tc>
      </w:tr>
    </w:tbl>
    <w:p>
      <w:pPr>
        <w:spacing w:after="160"/>
      </w:pPr>
    </w:p>
    <w:p>
      <w:pPr>
        <w:pStyle w:val="Heading2"/>
      </w:pPr>
      <w:r>
        <w:t xml:space="preserve">4.3 Integration Points</w:t>
      </w:r>
    </w:p>
    <w:p>
      <w:pPr>
        <w:spacing w:after="120" w:line="276"/>
      </w:pPr>
      <w:r>
        <w:rPr>
          <w:rFonts w:ascii="Arial" w:cs="Arial" w:eastAsia="Arial" w:hAnsi="Arial"/>
          <w:sz w:val="21"/>
          <w:szCs w:val="21"/>
        </w:rPr>
        <w:t xml:space="preserve">AIM integrates with three external systems and four internal ARHIA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Integration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Direction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Data 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Enterprise IdP (AD/Okta/etc.)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AIM → IdP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Supervisor identity resolution; department scope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OPA/Rego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AIM → OPA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Permission set fed as input to policy decisions; ATK-C02 uses AIM data for authorization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AIBOM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AIM ↔ ABO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Bidirectional: AIM reads provenance from AIBOM; AIBOM records AIM credential lifecycle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ATK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AIM → ATK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ATK-C01 calls AIM for identity verification on every invocation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D-TCG+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AIM → DTG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Agent identity tags on all tool call traces for per-agent behavioral profiling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EGA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AIM → EGA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agentId field in all evidence artifacts; enables per-agent evidence retrieval</w:t>
            </w:r>
          </w:p>
        </w:tc>
      </w:tr>
    </w:tbl>
    <w:p>
      <w:pPr>
        <w:spacing w:after="200"/>
      </w:pPr>
    </w:p>
    <w:p>
      <w:r>
        <w:br w:type="page"/>
      </w:r>
    </w:p>
    <w:p>
      <w:pPr>
        <w:pStyle w:val="Heading1"/>
      </w:pPr>
      <w:r>
        <w:t xml:space="preserve">5. Phase 1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000"/>
        <w:gridCol w:w="1780"/>
        <w:gridCol w:w="17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Task</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Deliverable</w:t>
            </w:r>
          </w:p>
        </w:tc>
        <w:tc>
          <w:tcPr>
            <w:tcW w:type="dxa" w:w="1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c>
          <w:tcPr>
            <w:tcW w:type="dxa" w:w="1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7"/>
                <w:szCs w:val="17"/>
              </w:rPr>
              <w:t xml:space="preserve">Target Metric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Control Registry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Complete registry of all ARHIA controls with 4-question model</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17"/>
                <w:szCs w:val="17"/>
              </w:rPr>
              <w:t xml:space="preserve">COMPLETE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36 controls (≥ 32 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EGA Spec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Evidence types, JSON-LD schema, retention tiers, chain of custody model</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17"/>
                <w:szCs w:val="17"/>
              </w:rPr>
              <w:t xml:space="preserve">COMPLETE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5 types, 3 tiers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Maturity Map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Unified mapping: ARHIA A0-A4 / CSA ATF / NVIDIA / KPMG / McKinsey / MGF</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17"/>
                <w:szCs w:val="17"/>
              </w:rPr>
              <w:t xml:space="preserve">COMPLETE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6 models harmonized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AIM Spec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Agent Identity Module: credential model, composite chain, lifecycle, integrations</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17"/>
                <w:szCs w:val="17"/>
              </w:rPr>
              <w:t xml:space="preserve">COMPLETE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10 credential fields, 6 lifecycle phases</w:t>
            </w:r>
          </w:p>
        </w:tc>
      </w:tr>
    </w:tbl>
    <w:p>
      <w:pPr>
        <w:spacing w:after="200"/>
      </w:pPr>
    </w:p>
    <w:p>
      <w:pPr>
        <w:pStyle w:val="Heading2"/>
      </w:pPr>
      <w:r>
        <w:t xml:space="preserve">5.1 Phase 1 Outputs Summary</w:t>
      </w:r>
    </w:p>
    <w:p>
      <w:pPr>
        <w:spacing w:after="120" w:line="276"/>
      </w:pPr>
      <w:r>
        <w:rPr>
          <w:rFonts w:ascii="Arial" w:cs="Arial" w:eastAsia="Arial" w:hAnsi="Arial"/>
          <w:b/>
          <w:bCs/>
          <w:sz w:val="21"/>
          <w:szCs w:val="21"/>
        </w:rPr>
        <w:t xml:space="preserve">36 auditable controls </w:t>
      </w:r>
      <w:r>
        <w:rPr>
          <w:rFonts w:ascii="Arial" w:cs="Arial" w:eastAsia="Arial" w:hAnsi="Arial"/>
          <w:sz w:val="21"/>
          <w:szCs w:val="21"/>
        </w:rPr>
        <w:t xml:space="preserve">across 8 subsystems (15 net-new in v11.4), exceeding the 32-control target from TR-2026-030.</w:t>
      </w:r>
    </w:p>
    <w:p>
      <w:pPr>
        <w:spacing w:after="120" w:line="276"/>
      </w:pPr>
      <w:r>
        <w:rPr>
          <w:rFonts w:ascii="Arial" w:cs="Arial" w:eastAsia="Arial" w:hAnsi="Arial"/>
          <w:b/>
          <w:bCs/>
          <w:sz w:val="21"/>
          <w:szCs w:val="21"/>
        </w:rPr>
        <w:t xml:space="preserve">5 evidence types </w:t>
      </w:r>
      <w:r>
        <w:rPr>
          <w:rFonts w:ascii="Arial" w:cs="Arial" w:eastAsia="Arial" w:hAnsi="Arial"/>
          <w:sz w:val="21"/>
          <w:szCs w:val="21"/>
        </w:rPr>
        <w:t xml:space="preserve">(LOG, ATT, MET, APR, TST) with JSON-LD schema and HMAC chain-of-custody model.</w:t>
      </w:r>
    </w:p>
    <w:p>
      <w:pPr>
        <w:spacing w:after="120" w:line="276"/>
      </w:pPr>
      <w:r>
        <w:rPr>
          <w:rFonts w:ascii="Arial" w:cs="Arial" w:eastAsia="Arial" w:hAnsi="Arial"/>
          <w:b/>
          <w:bCs/>
          <w:sz w:val="21"/>
          <w:szCs w:val="21"/>
        </w:rPr>
        <w:t xml:space="preserve">6 maturity models harmonized </w:t>
      </w:r>
      <w:r>
        <w:rPr>
          <w:rFonts w:ascii="Arial" w:cs="Arial" w:eastAsia="Arial" w:hAnsi="Arial"/>
          <w:sz w:val="21"/>
          <w:szCs w:val="21"/>
        </w:rPr>
        <w:t xml:space="preserve">(ARHIA, CSA ATF, NVIDIA, KPMG TACO, McKinsey RAI, Singapore MGF) with unified 5-gate promotion protocol.</w:t>
      </w:r>
    </w:p>
    <w:p>
      <w:pPr>
        <w:spacing w:after="120" w:line="276"/>
      </w:pPr>
      <w:r>
        <w:rPr>
          <w:rFonts w:ascii="Arial" w:cs="Arial" w:eastAsia="Arial" w:hAnsi="Arial"/>
          <w:b/>
          <w:bCs/>
          <w:sz w:val="21"/>
          <w:szCs w:val="21"/>
        </w:rPr>
        <w:t xml:space="preserve">Agent Identity Module (AIM) </w:t>
      </w:r>
      <w:r>
        <w:rPr>
          <w:rFonts w:ascii="Arial" w:cs="Arial" w:eastAsia="Arial" w:hAnsi="Arial"/>
          <w:sz w:val="21"/>
          <w:szCs w:val="21"/>
        </w:rPr>
        <w:t xml:space="preserve">fully specified with NHI-compatible credentials, 4-layer composite identity chain, 6-phase lifecycle, and 6 integration points.</w:t>
      </w:r>
    </w:p>
    <w:p>
      <w:pPr>
        <w:pStyle w:val="Heading2"/>
      </w:pPr>
      <w:r>
        <w:t xml:space="preserve">5.2 Next: Phase 2 — Crosswalk Construction</w:t>
      </w:r>
    </w:p>
    <w:p>
      <w:pPr>
        <w:spacing w:after="120" w:line="276"/>
      </w:pPr>
      <w:r>
        <w:rPr>
          <w:rFonts w:ascii="Arial" w:cs="Arial" w:eastAsia="Arial" w:hAnsi="Arial"/>
          <w:sz w:val="21"/>
          <w:szCs w:val="21"/>
        </w:rPr>
        <w:t xml:space="preserve">Phase 2 builds directly on the Control Registry produced here. Each of the 36 controls will be mapped against the 7+ target frameworks to produce the Master Crosswalk Matrix. Priority order: (1) OWASP Agentic Top 10 (highest GTM value), (2) ARISE 7 domains, (3) CSA ATF 5 elements, (4) Singapore MGF 4 dimensions, (5) NIST AI RMF + CSF 2.0.</w:t>
      </w:r>
    </w:p>
    <w:p>
      <w:pPr>
        <w:spacing w:after="200" w:before="300"/>
      </w:pPr>
    </w:p>
    <w:p>
      <w:pPr>
        <w:pBdr>
          <w:top w:val="single" w:color="1B2A4A" w:sz="4" w:space="6"/>
          <w:bottom w:val="single" w:color="1B2A4A" w:sz="4" w:space="6"/>
        </w:pBdr>
        <w:jc w:val="center"/>
      </w:pPr>
      <w:r>
        <w:rPr>
          <w:rFonts w:ascii="Arial" w:cs="Arial" w:eastAsia="Arial" w:hAnsi="Arial"/>
          <w:i/>
          <w:iCs/>
          <w:color w:val="666666"/>
          <w:sz w:val="18"/>
          <w:szCs w:val="18"/>
        </w:rPr>
        <w:t xml:space="preserve">End of Document — TR-2026-031 — ARHIA v11.4 Phase 1: Foundation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Sinergia Consulting Group S.A.S. — 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tabs>
        <w:tab w:val="right" w:pos="9026"/>
      </w:tabs>
    </w:pPr>
    <w:r>
      <w:rPr>
        <w:rFonts w:ascii="Arial" w:cs="Arial" w:eastAsia="Arial" w:hAnsi="Arial"/>
        <w:i/>
        <w:iCs/>
        <w:color w:val="666666"/>
        <w:sz w:val="15"/>
        <w:szCs w:val="15"/>
      </w:rPr>
      <w:t xml:space="preserve">ARHIA v11.4 — Phase 1: Foundation</w:t>
    </w:r>
    <w:r>
      <w:rPr>
        <w:rFonts w:ascii="Arial" w:cs="Arial" w:eastAsia="Arial" w:hAnsi="Arial"/>
        <w:i/>
        <w:iCs/>
        <w:color w:val="666666"/>
        <w:sz w:val="15"/>
        <w:szCs w:val="15"/>
      </w:rPr>
      <w:t xml:space="preserve">	TR-2026-031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2026-04-03T21:52:20.824Z</dcterms:created>
  <dcterms:modified xsi:type="dcterms:W3CDTF">2026-04-03T21:52:20.825Z</dcterms:modified>
</cp:coreProperties>
</file>

<file path=docProps/custom.xml><?xml version="1.0" encoding="utf-8"?>
<Properties xmlns="http://schemas.openxmlformats.org/officeDocument/2006/custom-properties" xmlns:vt="http://schemas.openxmlformats.org/officeDocument/2006/docPropsVTypes"/>
</file>