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666666"/>
          <w:sz w:val="20"/>
          <w:szCs w:val="20"/>
        </w:rPr>
        <w:t xml:space="preserve">SINERGIA CONSULTING GROUP S.A.S.</w:t>
      </w:r>
    </w:p>
    <w:p>
      <w:pPr>
        <w:spacing w:after="60"/>
        <w:jc w:val="center"/>
      </w:pPr>
      <w:r>
        <w:rPr>
          <w:rFonts w:ascii="Arial" w:cs="Arial" w:eastAsia="Arial" w:hAnsi="Arial"/>
          <w:b/>
          <w:bCs/>
          <w:color w:val="1B2A4A"/>
          <w:sz w:val="60"/>
          <w:szCs w:val="60"/>
        </w:rPr>
        <w:t xml:space="preserve">ARHIA v11.4</w:t>
      </w:r>
    </w:p>
    <w:p>
      <w:pPr>
        <w:spacing w:after="60"/>
        <w:jc w:val="center"/>
      </w:pPr>
      <w:r>
        <w:rPr>
          <w:rFonts w:ascii="Arial" w:cs="Arial" w:eastAsia="Arial" w:hAnsi="Arial"/>
          <w:b/>
          <w:bCs/>
          <w:color w:val="2E75B6"/>
          <w:sz w:val="34"/>
          <w:szCs w:val="34"/>
        </w:rPr>
        <w:t xml:space="preserve">Phase 2: Crosswalk Construction</w:t>
      </w:r>
    </w:p>
    <w:p>
      <w:pPr>
        <w:pBdr>
          <w:top w:val="single" w:color="2E75B6" w:sz="6" w:space="8"/>
          <w:bottom w:val="single" w:color="2E75B6" w:sz="6" w:space="8"/>
        </w:pBdr>
        <w:spacing w:after="300" w:before="300"/>
        <w:jc w:val="center"/>
      </w:pPr>
      <w:r>
        <w:rPr>
          <w:rFonts w:ascii="Arial" w:cs="Arial" w:eastAsia="Arial" w:hAnsi="Arial"/>
          <w:b/>
          <w:bCs/>
          <w:color w:val="1B2A4A"/>
          <w:sz w:val="26"/>
          <w:szCs w:val="26"/>
        </w:rPr>
        <w:t xml:space="preserve">Master Multi-Framework Crosswalk Matrix</w:t>
      </w:r>
    </w:p>
    <w:p>
      <w:pPr>
        <w:spacing w:after="60"/>
        <w:jc w:val="center"/>
      </w:pPr>
      <w:r>
        <w:rPr>
          <w:rFonts w:ascii="Arial" w:cs="Arial" w:eastAsia="Arial" w:hAnsi="Arial"/>
          <w:color w:val="4472C4"/>
          <w:sz w:val="20"/>
          <w:szCs w:val="20"/>
        </w:rPr>
        <w:t xml:space="preserve">ARISE • OWASP Agentic Top 10 • CSA ATF • Singapore MGF • NIST AI RMF + CSF 2.0</w:t>
      </w:r>
    </w:p>
    <w:p>
      <w:pPr>
        <w:spacing w:after="60" w:before="500"/>
        <w:jc w:val="center"/>
      </w:pPr>
      <w:r>
        <w:rPr>
          <w:rFonts w:ascii="Arial" w:cs="Arial" w:eastAsia="Arial" w:hAnsi="Arial"/>
          <w:color w:val="666666"/>
          <w:sz w:val="18"/>
          <w:szCs w:val="18"/>
        </w:rPr>
        <w:t xml:space="preserve">Document Reference: TR-2026-032</w:t>
      </w:r>
    </w:p>
    <w:p>
      <w:pPr>
        <w:spacing w:after="60"/>
        <w:jc w:val="center"/>
      </w:pPr>
      <w:r>
        <w:rPr>
          <w:rFonts w:ascii="Arial" w:cs="Arial" w:eastAsia="Arial" w:hAnsi="Arial"/>
          <w:color w:val="666666"/>
          <w:sz w:val="16"/>
          <w:szCs w:val="16"/>
        </w:rPr>
        <w:t xml:space="preserve">Parent: TR-2026-030 | Dependency: TR-2026-031 (Phase 1)</w:t>
      </w:r>
    </w:p>
    <w:p>
      <w:pPr>
        <w:jc w:val="center"/>
      </w:pPr>
      <w:r>
        <w:rPr>
          <w:rFonts w:ascii="Arial" w:cs="Arial" w:eastAsia="Arial" w:hAnsi="Arial"/>
          <w:color w:val="666666"/>
          <w:sz w:val="18"/>
          <w:szCs w:val="18"/>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00" w:line="260"/>
      </w:pPr>
      <w:r>
        <w:rPr>
          <w:rFonts w:ascii="Arial" w:cs="Arial" w:eastAsia="Arial" w:hAnsi="Arial"/>
          <w:sz w:val="20"/>
          <w:szCs w:val="20"/>
        </w:rPr>
        <w:t xml:space="preserve">This document delivers the Master Multi-Framework Crosswalk Matrix, mapping all 36 ARHIA v11.4 controls (defined in TR-2026-031) against five major agentic AI governance frameworks. The matrix serves as the primary compliance artifact for ARHIA, enabling any organization to verify coverage against their target governance standard.</w:t>
      </w:r>
    </w:p>
    <w:p>
      <w:pPr>
        <w:pStyle w:val="Heading2"/>
      </w:pPr>
      <w:r>
        <w:t xml:space="preserve">1.2 Reading the Crosswalk Tables</w:t>
      </w:r>
    </w:p>
    <w:p>
      <w:pPr>
        <w:spacing w:after="100" w:line="260"/>
      </w:pPr>
      <w:r>
        <w:rPr>
          <w:rFonts w:ascii="Arial" w:cs="Arial" w:eastAsia="Arial" w:hAnsi="Arial"/>
          <w:sz w:val="20"/>
          <w:szCs w:val="20"/>
        </w:rPr>
        <w:t xml:space="preserve">Each crosswalk sheet uses color-coded coverage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Indicator</w:t>
            </w:r>
          </w:p>
        </w:tc>
        <w:tc>
          <w:tcPr>
            <w:tcW w:type="dxa" w:w="15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Color</w:t>
            </w:r>
          </w:p>
        </w:tc>
        <w:tc>
          <w:tcPr>
            <w:tcW w:type="dxa" w:w="58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Meaning</w:t>
            </w:r>
          </w:p>
        </w:tc>
      </w:tr>
      <w:tr>
        <w:tc>
          <w:tcPr>
            <w:tcW w:type="dxa" w:w="200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 FULL</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Green</w:t>
            </w:r>
          </w:p>
        </w:tc>
        <w:tc>
          <w:tcPr>
            <w:tcW w:type="dxa" w:w="58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ARHIA control directly and fully addresses the framework requirement</w:t>
            </w:r>
          </w:p>
        </w:tc>
      </w:tr>
      <w:tr>
        <w:tc>
          <w:tcPr>
            <w:tcW w:type="dxa" w:w="200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 PARTIAL</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Yellow</w:t>
            </w:r>
          </w:p>
        </w:tc>
        <w:tc>
          <w:tcPr>
            <w:tcW w:type="dxa" w:w="58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ARHIA control partially addresses the requirement; supplementary controls may be needed</w:t>
            </w:r>
          </w:p>
        </w:tc>
      </w:tr>
      <w:tr>
        <w:tc>
          <w:tcPr>
            <w:tcW w:type="dxa" w:w="200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Red</w:t>
            </w:r>
          </w:p>
        </w:tc>
        <w:tc>
          <w:tcPr>
            <w:tcW w:type="dxa" w:w="58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No direct mapping; requirement is out of scope or addressed by a different ARHIA control</w:t>
            </w:r>
          </w:p>
        </w:tc>
      </w:tr>
    </w:tbl>
    <w:p>
      <w:pPr>
        <w:spacing w:after="100"/>
      </w:pPr>
    </w:p>
    <w:p>
      <w:pPr>
        <w:spacing w:after="100" w:line="260"/>
      </w:pPr>
      <w:r>
        <w:rPr>
          <w:rFonts w:ascii="Arial" w:cs="Arial" w:eastAsia="Arial" w:hAnsi="Arial"/>
          <w:sz w:val="20"/>
          <w:szCs w:val="20"/>
        </w:rPr>
        <w:t xml:space="preserve">Framework-specific column headers use the official identifiers from each standard. ARHIA controls are listed on the Y-axis using the Control Registry IDs from TR-2026-031.</w:t>
      </w:r>
    </w:p>
    <w:p>
      <w:pPr>
        <w:pStyle w:val="Heading2"/>
      </w:pPr>
      <w:r>
        <w:t xml:space="preserve">1.3 Coverage Summary</w:t>
      </w:r>
    </w:p>
    <w:p>
      <w:pPr>
        <w:spacing w:after="100" w:line="260"/>
      </w:pPr>
      <w:r>
        <w:rPr>
          <w:rFonts w:ascii="Arial" w:cs="Arial" w:eastAsia="Arial" w:hAnsi="Arial"/>
          <w:sz w:val="20"/>
          <w:szCs w:val="20"/>
        </w:rPr>
        <w:t xml:space="preserve">The following table summarizes overall coverage statistics across all five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5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Framework</w:t>
            </w:r>
          </w:p>
        </w:tc>
        <w:tc>
          <w:tcPr>
            <w:tcW w:type="dxa" w:w="1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Elements</w:t>
            </w:r>
          </w:p>
        </w:tc>
        <w:tc>
          <w:tcPr>
            <w:tcW w:type="dxa" w:w="1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Full Coverage</w:t>
            </w:r>
          </w:p>
        </w:tc>
        <w:tc>
          <w:tcPr>
            <w:tcW w:type="dxa" w:w="1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Partial</w:t>
            </w:r>
          </w:p>
        </w:tc>
        <w:tc>
          <w:tcPr>
            <w:tcW w:type="dxa" w:w="15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Gaps</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ARISE (7 domains)</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7</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2E7D32"/>
                <w:sz w:val="14"/>
                <w:szCs w:val="14"/>
              </w:rPr>
              <w:t xml:space="preserve">7/7 (100%)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0</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0</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OWASP Agentic Top 10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10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2E7D32"/>
                <w:sz w:val="14"/>
                <w:szCs w:val="14"/>
              </w:rPr>
              <w:t xml:space="preserve">8/10 (80%)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2/10 (20%)</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0</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CSA ATF (5 elements)</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5</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2E7D32"/>
                <w:sz w:val="14"/>
                <w:szCs w:val="14"/>
              </w:rPr>
              <w:t xml:space="preserve">5/5 (100%)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0</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0</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Singapore MGF (4 dims)</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4</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2E7D32"/>
                <w:sz w:val="14"/>
                <w:szCs w:val="14"/>
              </w:rPr>
              <w:t xml:space="preserve">4/4 (100%)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0</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0</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NIST AI RMF + CSF 2.0 (10 funcs)</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10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2E7D32"/>
                <w:sz w:val="14"/>
                <w:szCs w:val="14"/>
              </w:rPr>
              <w:t xml:space="preserve">9/10 (90%)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1/10 (10%)</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0</w:t>
            </w:r>
          </w:p>
        </w:tc>
      </w:tr>
    </w:tbl>
    <w:p>
      <w:pPr>
        <w:spacing w:after="100"/>
      </w:pPr>
    </w:p>
    <w:p>
      <w:pPr>
        <w:spacing w:after="100" w:line="260"/>
      </w:pPr>
      <w:r>
        <w:rPr>
          <w:rFonts w:ascii="Arial" w:cs="Arial" w:eastAsia="Arial" w:hAnsi="Arial"/>
          <w:b/>
          <w:bCs/>
          <w:sz w:val="20"/>
          <w:szCs w:val="20"/>
        </w:rPr>
        <w:t xml:space="preserve">Key finding: </w:t>
      </w:r>
      <w:r>
        <w:rPr>
          <w:rFonts w:ascii="Arial" w:cs="Arial" w:eastAsia="Arial" w:hAnsi="Arial"/>
          <w:sz w:val="20"/>
          <w:szCs w:val="20"/>
        </w:rPr>
        <w:t xml:space="preserve">ARHIA v11.4 achieves full or partial coverage of 100% of requirements across all five frameworks, with zero unaddressed gaps. The two OWASP partial coverages (ASI-06 Agentic RAG Poisoning, ASI-09 Overreliance) are partially addressed because they involve user-side behavioral risks that no runtime can fully enforce.</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2. Crosswalk Sheet 1: ARHIA ↔ ARISE 7 Domains</w:t>
      </w:r>
    </w:p>
    <w:p>
      <w:pPr>
        <w:spacing w:after="100" w:line="260"/>
      </w:pPr>
      <w:r>
        <w:rPr>
          <w:rFonts w:ascii="Arial" w:cs="Arial" w:eastAsia="Arial" w:hAnsi="Arial"/>
          <w:sz w:val="20"/>
          <w:szCs w:val="20"/>
        </w:rPr>
        <w:t xml:space="preserve">The ARISE Framework defines 7 governance domains. This sheet maps each ARHIA control to the ARISE domain(s) it addresses.</w:t>
      </w:r>
    </w:p>
    <w:p>
      <w:pPr>
        <w:spacing w:after="6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380"/>
        <w:gridCol w:w="1380"/>
        <w:gridCol w:w="1380"/>
        <w:gridCol w:w="1380"/>
        <w:gridCol w:w="1380"/>
        <w:gridCol w:w="1380"/>
        <w:gridCol w:w="1380"/>
      </w:tblGrid>
      <w:tr>
        <w:tc>
          <w:tcPr>
            <w:tcW w:type="dxa" w:w="11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Control ID</w:t>
            </w:r>
          </w:p>
        </w:tc>
        <w:tc>
          <w:tcPr>
            <w:tcW w:type="dxa" w:w="2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Control Name</w:t>
            </w:r>
          </w:p>
        </w:tc>
        <w:tc>
          <w:tcPr>
            <w:tcW w:type="dxa" w:w="1380"/>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GOVERN</w:t>
            </w:r>
          </w:p>
        </w:tc>
        <w:tc>
          <w:tcPr>
            <w:tcW w:type="dxa" w:w="1380"/>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MANAGE</w:t>
            </w:r>
          </w:p>
        </w:tc>
        <w:tc>
          <w:tcPr>
            <w:tcW w:type="dxa" w:w="1380"/>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IDENTIFY</w:t>
            </w:r>
          </w:p>
        </w:tc>
        <w:tc>
          <w:tcPr>
            <w:tcW w:type="dxa" w:w="1380"/>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PROTECT</w:t>
            </w:r>
          </w:p>
        </w:tc>
        <w:tc>
          <w:tcPr>
            <w:tcW w:type="dxa" w:w="1380"/>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DETECT</w:t>
            </w:r>
          </w:p>
        </w:tc>
        <w:tc>
          <w:tcPr>
            <w:tcW w:type="dxa" w:w="1380"/>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RESPOND</w:t>
            </w:r>
          </w:p>
        </w:tc>
        <w:tc>
          <w:tcPr>
            <w:tcW w:type="dxa" w:w="1380"/>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VALIDATE</w:t>
            </w:r>
          </w:p>
        </w:tc>
      </w:tr>
      <w:tr>
        <w:tc>
          <w:tcPr>
            <w:tcW w:type="dxa" w:w="12960"/>
            <w:gridSpan w:val="9"/>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ATK — Agent Trust Kernel</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ATK-C01</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Identity Verification</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ATK-C02</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Authorization Scope Check</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ATK-C03</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Input Integrity Check</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ATK-C04</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Output Safety Check</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ATK-C05</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Outcome Classification</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ATK-C06</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Envelope Integrity</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ATK-C07</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ATK Configuration Audit</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2960"/>
            <w:gridSpan w:val="9"/>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DTG — Defensive Tool Call Graph (D-TCG+)</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DTG-C01</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Tool Call Trajectory Logging</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DTG-C02</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Trajectory Anomaly Detection</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DTG-C03</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Cross-Domain Correlation</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DTG-C04</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Incident Playbook Trigger</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DTG-C05</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Behavioral Baseline Update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2960"/>
            <w:gridSpan w:val="9"/>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ABO — AI Bill of Materials</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ABO-C01</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Agent Registration</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ABO-C02</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Component Inventory Valid.</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ABO-C03</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Agent Retirement Protocol</w:t>
            </w:r>
          </w:p>
        </w:tc>
        <w:tc>
          <w:tcPr>
            <w:tcW w:type="dxa" w:w="13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2960"/>
            <w:gridSpan w:val="9"/>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HIC — Human-in-Architecture Checkpoints</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HIC-C01</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Pre-Deployment Gate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HIC-C02</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High-Impact Action Gate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HIC-C03</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Escalation Gate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HIC-C04</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Drift Intervention Gate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HIC-C05</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Periodic Governance Review</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2960"/>
            <w:gridSpan w:val="9"/>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OPA — Policy Engine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OPA-C01</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Policy Bundle Deployment</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OPA-C02</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Policy Decision Logging</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OPA-C03</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Policy Regression Testing</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OPA-C04</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Policy Version Control</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2960"/>
            <w:gridSpan w:val="9"/>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AUT — Autonomy Scale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AUT-C01</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Initial Level Assignment</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AUT-C02</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Promo Gate: Performance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AUT-C03</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Promo Gate: Security Audit</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AUT-C04</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Promo Gate: Business Impact</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AUT-C05</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Promo Gate: Gov. Sign-off</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2960"/>
            <w:gridSpan w:val="9"/>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AIM — Agent Identity Module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AIM-C01</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Credential Issuance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AIM-C02</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Credential Rotation</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AIM-C03</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Composite Identity Linking</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2960"/>
            <w:gridSpan w:val="9"/>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EGA — Evidence Generation Architecture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EGA-C01</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Evidence Collection Auto</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EGA-C02</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Evidence Format Enforcement</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EGA-C03</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Evidence Chain of Custody</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EGA-C04</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Evidence Retention Policy</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38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bl>
    <w:p>
      <w:pPr>
        <w:spacing w:after="80" w:before="160"/>
      </w:pPr>
    </w:p>
    <w:p>
      <w:pPr>
        <w:spacing w:after="100" w:line="260"/>
      </w:pPr>
      <w:r>
        <w:rPr>
          <w:rFonts w:ascii="Arial" w:cs="Arial" w:eastAsia="Arial" w:hAnsi="Arial"/>
          <w:b/>
          <w:bCs/>
          <w:color w:val="1B2A4A"/>
          <w:sz w:val="20"/>
          <w:szCs w:val="20"/>
        </w:rPr>
        <w:t xml:space="preserve">ARISE Coverage: </w:t>
      </w:r>
      <w:r>
        <w:rPr>
          <w:rFonts w:ascii="Arial" w:cs="Arial" w:eastAsia="Arial" w:hAnsi="Arial"/>
          <w:sz w:val="20"/>
          <w:szCs w:val="20"/>
        </w:rPr>
        <w:t xml:space="preserve">All 7 ARISE domains are addressed by multiple ARHIA controls. GOVERN is covered by 14 controls, MANAGE by 16, IDENTIFY by 9, PROTECT by 12, DETECT by 9, RESPOND by 6, VALIDATE by 14. No domain has zero coverage.</w:t>
      </w:r>
    </w:p>
    <w:p>
      <w:pPr>
        <w:sectPr>
          <w:headerReference w:type="default" r:id="rId9"/>
          <w:footerReference w:type="default" r:id="rId10"/>
          <w:pgSz w:w="15840" w:h="12240" w:orient="landscape"/>
          <w:pgMar w:top="1080" w:right="1080" w:bottom="1080" w:left="1080" w:header="708" w:footer="708" w:gutter="0"/>
          <w:pgNumType/>
          <w:docGrid w:linePitch="360"/>
        </w:sectPr>
      </w:pPr>
    </w:p>
    <w:p>
      <w:pPr>
        <w:pStyle w:val="Heading1"/>
      </w:pPr>
      <w:r>
        <w:t xml:space="preserve">3. Crosswalk Sheet 2: ARHIA ↔ OWASP Agentic Top 10</w:t>
      </w:r>
    </w:p>
    <w:p>
      <w:pPr>
        <w:spacing w:after="100" w:line="260"/>
      </w:pPr>
      <w:r>
        <w:rPr>
          <w:rFonts w:ascii="Arial" w:cs="Arial" w:eastAsia="Arial" w:hAnsi="Arial"/>
          <w:sz w:val="20"/>
          <w:szCs w:val="20"/>
        </w:rPr>
        <w:t xml:space="preserve">The OWASP Top 10 for Agentic Applications 2026 defines 10 critical security risks (ASI-01 to ASI-10). This is the highest-value crosswalk for the CISO buyer persona.</w:t>
      </w:r>
    </w:p>
    <w:p>
      <w:pPr>
        <w:spacing w:after="4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
        <w:gridCol w:w="1296"/>
        <w:gridCol w:w="1296"/>
        <w:gridCol w:w="1296"/>
        <w:gridCol w:w="1296"/>
        <w:gridCol w:w="1296"/>
        <w:gridCol w:w="1296"/>
        <w:gridCol w:w="1296"/>
        <w:gridCol w:w="1296"/>
        <w:gridCol w:w="1296"/>
      </w:tblGrid>
      <w:tr>
        <w:tc>
          <w:tcPr>
            <w:tcW w:type="dxa" w:w="1296"/>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Arial" w:cs="Arial" w:eastAsia="Arial" w:hAnsi="Arial"/>
                <w:b/>
                <w:bCs/>
                <w:color w:val="FFFFFF"/>
                <w:sz w:val="15"/>
                <w:szCs w:val="15"/>
              </w:rPr>
              <w:t xml:space="preserve">ASI-01</w:t>
            </w:r>
          </w:p>
        </w:tc>
        <w:tc>
          <w:tcPr>
            <w:tcW w:type="dxa" w:w="1296"/>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Arial" w:cs="Arial" w:eastAsia="Arial" w:hAnsi="Arial"/>
                <w:b/>
                <w:bCs/>
                <w:color w:val="FFFFFF"/>
                <w:sz w:val="15"/>
                <w:szCs w:val="15"/>
              </w:rPr>
              <w:t xml:space="preserve">ASI-02</w:t>
            </w:r>
          </w:p>
        </w:tc>
        <w:tc>
          <w:tcPr>
            <w:tcW w:type="dxa" w:w="1296"/>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Arial" w:cs="Arial" w:eastAsia="Arial" w:hAnsi="Arial"/>
                <w:b/>
                <w:bCs/>
                <w:color w:val="FFFFFF"/>
                <w:sz w:val="15"/>
                <w:szCs w:val="15"/>
              </w:rPr>
              <w:t xml:space="preserve">ASI-03</w:t>
            </w:r>
          </w:p>
        </w:tc>
        <w:tc>
          <w:tcPr>
            <w:tcW w:type="dxa" w:w="1296"/>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Arial" w:cs="Arial" w:eastAsia="Arial" w:hAnsi="Arial"/>
                <w:b/>
                <w:bCs/>
                <w:color w:val="FFFFFF"/>
                <w:sz w:val="15"/>
                <w:szCs w:val="15"/>
              </w:rPr>
              <w:t xml:space="preserve">ASI-04</w:t>
            </w:r>
          </w:p>
        </w:tc>
        <w:tc>
          <w:tcPr>
            <w:tcW w:type="dxa" w:w="1296"/>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Arial" w:cs="Arial" w:eastAsia="Arial" w:hAnsi="Arial"/>
                <w:b/>
                <w:bCs/>
                <w:color w:val="FFFFFF"/>
                <w:sz w:val="15"/>
                <w:szCs w:val="15"/>
              </w:rPr>
              <w:t xml:space="preserve">ASI-05</w:t>
            </w:r>
          </w:p>
        </w:tc>
        <w:tc>
          <w:tcPr>
            <w:tcW w:type="dxa" w:w="1296"/>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Arial" w:cs="Arial" w:eastAsia="Arial" w:hAnsi="Arial"/>
                <w:b/>
                <w:bCs/>
                <w:color w:val="FFFFFF"/>
                <w:sz w:val="15"/>
                <w:szCs w:val="15"/>
              </w:rPr>
              <w:t xml:space="preserve">ASI-06</w:t>
            </w:r>
          </w:p>
        </w:tc>
        <w:tc>
          <w:tcPr>
            <w:tcW w:type="dxa" w:w="1296"/>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Arial" w:cs="Arial" w:eastAsia="Arial" w:hAnsi="Arial"/>
                <w:b/>
                <w:bCs/>
                <w:color w:val="FFFFFF"/>
                <w:sz w:val="15"/>
                <w:szCs w:val="15"/>
              </w:rPr>
              <w:t xml:space="preserve">ASI-07</w:t>
            </w:r>
          </w:p>
        </w:tc>
        <w:tc>
          <w:tcPr>
            <w:tcW w:type="dxa" w:w="1296"/>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Arial" w:cs="Arial" w:eastAsia="Arial" w:hAnsi="Arial"/>
                <w:b/>
                <w:bCs/>
                <w:color w:val="FFFFFF"/>
                <w:sz w:val="15"/>
                <w:szCs w:val="15"/>
              </w:rPr>
              <w:t xml:space="preserve">ASI-08</w:t>
            </w:r>
          </w:p>
        </w:tc>
        <w:tc>
          <w:tcPr>
            <w:tcW w:type="dxa" w:w="1296"/>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Arial" w:cs="Arial" w:eastAsia="Arial" w:hAnsi="Arial"/>
                <w:b/>
                <w:bCs/>
                <w:color w:val="FFFFFF"/>
                <w:sz w:val="15"/>
                <w:szCs w:val="15"/>
              </w:rPr>
              <w:t xml:space="preserve">ASI-09</w:t>
            </w:r>
          </w:p>
        </w:tc>
        <w:tc>
          <w:tcPr>
            <w:tcW w:type="dxa" w:w="1296"/>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Arial" w:cs="Arial" w:eastAsia="Arial" w:hAnsi="Arial"/>
                <w:b/>
                <w:bCs/>
                <w:color w:val="FFFFFF"/>
                <w:sz w:val="15"/>
                <w:szCs w:val="15"/>
              </w:rPr>
              <w:t xml:space="preserve">ASI-10</w:t>
            </w:r>
          </w:p>
        </w:tc>
      </w:tr>
      <w:tr>
        <w:tc>
          <w:tcPr>
            <w:tcW w:type="dxa" w:w="129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Goal Hijack</w:t>
            </w:r>
          </w:p>
        </w:tc>
        <w:tc>
          <w:tcPr>
            <w:tcW w:type="dxa" w:w="129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Tool Misuse</w:t>
            </w:r>
          </w:p>
        </w:tc>
        <w:tc>
          <w:tcPr>
            <w:tcW w:type="dxa" w:w="129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Excessive Perms</w:t>
            </w:r>
          </w:p>
        </w:tc>
        <w:tc>
          <w:tcPr>
            <w:tcW w:type="dxa" w:w="129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Uncontrolled Code</w:t>
            </w:r>
          </w:p>
        </w:tc>
        <w:tc>
          <w:tcPr>
            <w:tcW w:type="dxa" w:w="129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Supply Chain</w:t>
            </w:r>
          </w:p>
        </w:tc>
        <w:tc>
          <w:tcPr>
            <w:tcW w:type="dxa" w:w="129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RAG Poison</w:t>
            </w:r>
          </w:p>
        </w:tc>
        <w:tc>
          <w:tcPr>
            <w:tcW w:type="dxa" w:w="129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Memory Poison</w:t>
            </w:r>
          </w:p>
        </w:tc>
        <w:tc>
          <w:tcPr>
            <w:tcW w:type="dxa" w:w="129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Cascading Fail</w:t>
            </w:r>
          </w:p>
        </w:tc>
        <w:tc>
          <w:tcPr>
            <w:tcW w:type="dxa" w:w="129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Overreliance</w:t>
            </w:r>
          </w:p>
        </w:tc>
        <w:tc>
          <w:tcPr>
            <w:tcW w:type="dxa" w:w="129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Multi-Agent Manip</w:t>
            </w:r>
          </w:p>
        </w:tc>
      </w:tr>
    </w:tbl>
    <w:p>
      <w:pPr>
        <w:spacing w:after="8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026"/>
        <w:gridCol w:w="1026"/>
        <w:gridCol w:w="1026"/>
        <w:gridCol w:w="1026"/>
        <w:gridCol w:w="1026"/>
        <w:gridCol w:w="1026"/>
        <w:gridCol w:w="1026"/>
        <w:gridCol w:w="1026"/>
        <w:gridCol w:w="1026"/>
        <w:gridCol w:w="1026"/>
      </w:tblGrid>
      <w:tr>
        <w:tc>
          <w:tcPr>
            <w:tcW w:type="dxa" w:w="9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ID</w:t>
            </w:r>
          </w:p>
        </w:tc>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Control</w:t>
            </w:r>
          </w:p>
        </w:tc>
        <w:tc>
          <w:tcPr>
            <w:tcW w:type="dxa" w:w="1026"/>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ASI-01</w:t>
            </w:r>
          </w:p>
        </w:tc>
        <w:tc>
          <w:tcPr>
            <w:tcW w:type="dxa" w:w="1026"/>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ASI-02</w:t>
            </w:r>
          </w:p>
        </w:tc>
        <w:tc>
          <w:tcPr>
            <w:tcW w:type="dxa" w:w="1026"/>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ASI-03</w:t>
            </w:r>
          </w:p>
        </w:tc>
        <w:tc>
          <w:tcPr>
            <w:tcW w:type="dxa" w:w="1026"/>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ASI-04</w:t>
            </w:r>
          </w:p>
        </w:tc>
        <w:tc>
          <w:tcPr>
            <w:tcW w:type="dxa" w:w="1026"/>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ASI-05</w:t>
            </w:r>
          </w:p>
        </w:tc>
        <w:tc>
          <w:tcPr>
            <w:tcW w:type="dxa" w:w="1026"/>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ASI-06</w:t>
            </w:r>
          </w:p>
        </w:tc>
        <w:tc>
          <w:tcPr>
            <w:tcW w:type="dxa" w:w="1026"/>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ASI-07</w:t>
            </w:r>
          </w:p>
        </w:tc>
        <w:tc>
          <w:tcPr>
            <w:tcW w:type="dxa" w:w="1026"/>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ASI-08</w:t>
            </w:r>
          </w:p>
        </w:tc>
        <w:tc>
          <w:tcPr>
            <w:tcW w:type="dxa" w:w="1026"/>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ASI-09</w:t>
            </w:r>
          </w:p>
        </w:tc>
        <w:tc>
          <w:tcPr>
            <w:tcW w:type="dxa" w:w="1026"/>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ASI-10</w:t>
            </w:r>
          </w:p>
        </w:tc>
      </w:tr>
      <w:tr>
        <w:tc>
          <w:tcPr>
            <w:tcW w:type="dxa" w:w="12960"/>
            <w:gridSpan w:val="12"/>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ATK — Agent Trust Kernel</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Ident. Verif.</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ATK-C02</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Auth. Scope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ATK-C03</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Input Integrity</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ATK-C04</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Output Safety</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ATK-C05</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Outcome Class.</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ATK-C06</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Envelope Integ.</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2960"/>
            <w:gridSpan w:val="12"/>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DTG — D-TCG+</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Trajectory Log</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DTG-C02</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Anomaly Detect</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DTG-C03</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Cross-Domain Corr</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DTG-C04</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Playbook Trigger</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DTG-C05</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Baseline Update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2960"/>
            <w:gridSpan w:val="12"/>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OPA + AUT + AIM + HIC + ABO + EGA (key controls)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OPA-C01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Bundle Deploy</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Cred. Issuance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AIM-C03</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Composite ID Link</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HIC-C02</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High-Impact Gate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HIC-C03</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Escalation Gate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ABO-C02</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Inventory Valid.</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EGA-C03</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Chain of Custody</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2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2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bl>
    <w:p>
      <w:pPr>
        <w:spacing w:before="120"/>
      </w:pPr>
    </w:p>
    <w:p>
      <w:pPr>
        <w:spacing w:after="100" w:line="260"/>
      </w:pPr>
      <w:r>
        <w:rPr>
          <w:rFonts w:ascii="Arial" w:cs="Arial" w:eastAsia="Arial" w:hAnsi="Arial"/>
          <w:b/>
          <w:bCs/>
          <w:color w:val="1B2A4A"/>
          <w:sz w:val="20"/>
          <w:szCs w:val="20"/>
        </w:rPr>
        <w:t xml:space="preserve">OWASP Coverage: </w:t>
      </w:r>
      <w:r>
        <w:rPr>
          <w:rFonts w:ascii="Arial" w:cs="Arial" w:eastAsia="Arial" w:hAnsi="Arial"/>
          <w:sz w:val="20"/>
          <w:szCs w:val="20"/>
        </w:rPr>
        <w:t xml:space="preserve">8/10 risks have full coverage from multiple ARHIA controls. ASI-06 (RAG Poisoning) and ASI-09 (Overreliance) have partial coverage — ARHIA mitigates the technical vectors but cannot fully address the human behavioral component (user over-trust). No risk is unaddressed.</w:t>
      </w:r>
    </w:p>
    <w:p>
      <w:pPr>
        <w:sectPr>
          <w:headerReference w:type="default" r:id="rId11"/>
          <w:footerReference w:type="default" r:id="rId12"/>
          <w:pgSz w:w="15840" w:h="12240" w:orient="landscape"/>
          <w:pgMar w:top="1080" w:right="1080" w:bottom="1080" w:left="1080" w:header="708" w:footer="708" w:gutter="0"/>
          <w:pgNumType/>
          <w:docGrid w:linePitch="360"/>
        </w:sectPr>
      </w:pPr>
    </w:p>
    <w:p>
      <w:pPr>
        <w:pStyle w:val="Heading1"/>
      </w:pPr>
      <w:r>
        <w:t xml:space="preserve">4. Crosswalk Sheet 3: ARHIA ↔ CSA Agentic Trust Framework</w:t>
      </w:r>
    </w:p>
    <w:p>
      <w:pPr>
        <w:spacing w:after="100" w:line="260"/>
      </w:pPr>
      <w:r>
        <w:rPr>
          <w:rFonts w:ascii="Arial" w:cs="Arial" w:eastAsia="Arial" w:hAnsi="Arial"/>
          <w:sz w:val="20"/>
          <w:szCs w:val="20"/>
        </w:rPr>
        <w:t xml:space="preserve">CSA ATF defines 5 Zero Trust security elements for AI agents. This is the closest conceptual alignment with ARHIA.</w:t>
      </w:r>
    </w:p>
    <w:p>
      <w:pPr>
        <w:spacing w:after="6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892"/>
        <w:gridCol w:w="1892"/>
        <w:gridCol w:w="1892"/>
        <w:gridCol w:w="1892"/>
        <w:gridCol w:w="1892"/>
      </w:tblGrid>
      <w:tr>
        <w:tc>
          <w:tcPr>
            <w:tcW w:type="dxa" w:w="11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ID</w:t>
            </w:r>
          </w:p>
        </w:tc>
        <w:tc>
          <w:tcPr>
            <w:tcW w:type="dxa" w:w="24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Control</w:t>
            </w:r>
          </w:p>
        </w:tc>
        <w:tc>
          <w:tcPr>
            <w:tcW w:type="dxa" w:w="1892"/>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E1: Identity</w:t>
            </w:r>
          </w:p>
        </w:tc>
        <w:tc>
          <w:tcPr>
            <w:tcW w:type="dxa" w:w="1892"/>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E2: Behavioral Mon.</w:t>
            </w:r>
          </w:p>
        </w:tc>
        <w:tc>
          <w:tcPr>
            <w:tcW w:type="dxa" w:w="1892"/>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E3: Segmentation</w:t>
            </w:r>
          </w:p>
        </w:tc>
        <w:tc>
          <w:tcPr>
            <w:tcW w:type="dxa" w:w="1892"/>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E4: I/O Governance</w:t>
            </w:r>
          </w:p>
        </w:tc>
        <w:tc>
          <w:tcPr>
            <w:tcW w:type="dxa" w:w="1892"/>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E5: Incident Resp.</w:t>
            </w:r>
          </w:p>
        </w:tc>
      </w:tr>
      <w:tr>
        <w:tc>
          <w:tcPr>
            <w:tcW w:type="dxa" w:w="12960"/>
            <w:gridSpan w:val="7"/>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ATK — Agent Trust Kernel</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ATK-C01</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Identity Verification</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ATK-C02</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Authorization Scope Check</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ATK-C03</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Input Integrity Check</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ATK-C04</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Output Safety Check</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ATK-C05</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Outcome Classification</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ATK-C06</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Envelope Integrity</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ATK-C07</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Config Audit</w:t>
            </w:r>
          </w:p>
        </w:tc>
        <w:tc>
          <w:tcPr>
            <w:tcW w:type="dxa" w:w="1892"/>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2960"/>
            <w:gridSpan w:val="7"/>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DTG — D-TCG+</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DTG-C01</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Trajectory Logging</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DTG-C02</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Anomaly Detection</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DTG-C03</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Cross-Domain Correlation</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DTG-C04</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Playbook Trigger</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DTG-C05</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Baseline Update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2960"/>
            <w:gridSpan w:val="7"/>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AIM — Agent Identity Module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AIM-C01</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Credential Issuance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AIM-C02</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Credential Rotation</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AIM-C03</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Composite ID Linking</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2960"/>
            <w:gridSpan w:val="7"/>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HIC + OPA + AUT + ABO + EGA (key controls)</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HIC-C01</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Pre-Deployment Gate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HIC-C02</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High-Impact Action Gate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HIC-C03</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Escalation Gate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HIC-C04</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Drift Intervention</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OPA-C01</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Bundle Deployment</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OPA-C02</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Decision Logging</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AUT-C01</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Level Assignment</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AUT-C05</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Promo: Gov Sign-off</w:t>
            </w:r>
          </w:p>
        </w:tc>
        <w:tc>
          <w:tcPr>
            <w:tcW w:type="dxa" w:w="1892"/>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EGA-C03</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Chain of Custody</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89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bl>
    <w:p>
      <w:pPr>
        <w:spacing w:before="120"/>
      </w:pPr>
    </w:p>
    <w:p>
      <w:pPr>
        <w:spacing w:after="100" w:line="260"/>
      </w:pPr>
      <w:r>
        <w:rPr>
          <w:rFonts w:ascii="Arial" w:cs="Arial" w:eastAsia="Arial" w:hAnsi="Arial"/>
          <w:b/>
          <w:bCs/>
          <w:color w:val="1B2A4A"/>
          <w:sz w:val="20"/>
          <w:szCs w:val="20"/>
        </w:rPr>
        <w:t xml:space="preserve">CSA ATF Coverage: </w:t>
      </w:r>
      <w:r>
        <w:rPr>
          <w:rFonts w:ascii="Arial" w:cs="Arial" w:eastAsia="Arial" w:hAnsi="Arial"/>
          <w:sz w:val="20"/>
          <w:szCs w:val="20"/>
        </w:rPr>
        <w:t xml:space="preserve">All 5 ATF elements are fully addressed. Identity (E1) is covered by ATK-C01, ATK-C02, AIM-C01 to C03, and AUT-C01. Behavioral Monitoring (E2) by DTG-C01 to C05 and OPA-C02. Segmentation (E3) by ATK-C02, AIM-C01/C03, OPA-C01, HIC-C01/C02, AUT-C01/C05. I/O Governance (E4) by ATK-C03/C04, OPA-C01/C02. Incident Response (E5) by ATK-C05, DTG-C03/C04, HIC-C03/C04, EGA-C03.</w:t>
      </w:r>
    </w:p>
    <w:p>
      <w:pPr>
        <w:sectPr>
          <w:headerReference w:type="default" r:id="rId13"/>
          <w:footerReference w:type="default" r:id="rId14"/>
          <w:pgSz w:w="15840" w:h="12240" w:orient="landscape"/>
          <w:pgMar w:top="1080" w:right="1080" w:bottom="1080" w:left="1080" w:header="708" w:footer="708" w:gutter="0"/>
          <w:pgNumType/>
          <w:docGrid w:linePitch="360"/>
        </w:sectPr>
      </w:pPr>
    </w:p>
    <w:p>
      <w:pPr>
        <w:pStyle w:val="Heading1"/>
      </w:pPr>
      <w:r>
        <w:t xml:space="preserve">5. Crosswalk Sheet 4: ARHIA ↔ Singapore MGF for Agentic AI</w:t>
      </w:r>
    </w:p>
    <w:p>
      <w:pPr>
        <w:spacing w:after="100" w:line="260"/>
      </w:pPr>
      <w:r>
        <w:rPr>
          <w:rFonts w:ascii="Arial" w:cs="Arial" w:eastAsia="Arial" w:hAnsi="Arial"/>
          <w:sz w:val="20"/>
          <w:szCs w:val="20"/>
        </w:rPr>
        <w:t xml:space="preserve">Singapore IMDA MGF defines 4 governance dimensions: D1 (Assess and Bound Risks), D2 (Make Humans Accountable), D3 (Technical Controls and Processes), D4 (End-User Responsibility).</w:t>
      </w:r>
    </w:p>
    <w:p>
      <w:pPr>
        <w:spacing w:after="6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315"/>
        <w:gridCol w:w="2315"/>
        <w:gridCol w:w="2315"/>
        <w:gridCol w:w="2315"/>
      </w:tblGrid>
      <w:tr>
        <w:tc>
          <w:tcPr>
            <w:tcW w:type="dxa" w:w="11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ID</w:t>
            </w:r>
          </w:p>
        </w:tc>
        <w:tc>
          <w:tcPr>
            <w:tcW w:type="dxa" w:w="2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Control</w:t>
            </w:r>
          </w:p>
        </w:tc>
        <w:tc>
          <w:tcPr>
            <w:tcW w:type="dxa" w:w="2315"/>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D1: Assess &amp; Bound</w:t>
            </w:r>
          </w:p>
        </w:tc>
        <w:tc>
          <w:tcPr>
            <w:tcW w:type="dxa" w:w="2315"/>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D2: Human Account.</w:t>
            </w:r>
          </w:p>
        </w:tc>
        <w:tc>
          <w:tcPr>
            <w:tcW w:type="dxa" w:w="2315"/>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D3: Technical Ctrl</w:t>
            </w:r>
          </w:p>
        </w:tc>
        <w:tc>
          <w:tcPr>
            <w:tcW w:type="dxa" w:w="2315"/>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D4: End-User Resp.</w:t>
            </w:r>
          </w:p>
        </w:tc>
      </w:tr>
      <w:tr>
        <w:tc>
          <w:tcPr>
            <w:tcW w:type="dxa" w:w="12960"/>
            <w:gridSpan w:val="6"/>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ATK — Agent Trust Kernel</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ATK-C01</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Identity Verification</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ATK-C02</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Authorization Scope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ATK-C03</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Input Integrity</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ATK-C04</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Output Safety</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ATK-C05</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Outcome Classification</w:t>
            </w:r>
          </w:p>
        </w:tc>
        <w:tc>
          <w:tcPr>
            <w:tcW w:type="dxa" w:w="2315"/>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ATK-C06</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Envelope Integrity</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ATK-C07</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Config Audit</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2960"/>
            <w:gridSpan w:val="6"/>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DTG + HIC + AIM + OPA + AUT + ABO + EGA</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DTG-C01</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Trajectory Logging</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DTG-C02</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Anomaly Detection</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DTG-C03</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Cross-Domain Correlation</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DTG-C04</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Playbook Trigger</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HIC-C01</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Pre-Deployment Gate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HIC-C02</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High-Impact Action Gate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HIC-C03</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Escalation Gate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HIC-C04</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Drift Intervention</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HIC-C05</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Periodic Governance Review</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AIM-C01</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Credential Issuance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AIM-C03</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Composite ID Linking</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OPA-C01</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Bundle Deployment</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OPA-C03</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Regression Testing</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AUT-C01</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Level Assignment</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ABO-C01</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Agent Registration</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ABO-C02</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Component Inventory</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EGA-C01</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Evidence Collection</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EGA-C04</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Retention Policy</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2315"/>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2315"/>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bl>
    <w:p>
      <w:pPr>
        <w:spacing w:before="120"/>
      </w:pPr>
    </w:p>
    <w:p>
      <w:pPr>
        <w:spacing w:after="100" w:line="260"/>
      </w:pPr>
      <w:r>
        <w:rPr>
          <w:rFonts w:ascii="Arial" w:cs="Arial" w:eastAsia="Arial" w:hAnsi="Arial"/>
          <w:b/>
          <w:bCs/>
          <w:color w:val="1B2A4A"/>
          <w:sz w:val="20"/>
          <w:szCs w:val="20"/>
        </w:rPr>
        <w:t xml:space="preserve">Singapore MGF Coverage: </w:t>
      </w:r>
      <w:r>
        <w:rPr>
          <w:rFonts w:ascii="Arial" w:cs="Arial" w:eastAsia="Arial" w:hAnsi="Arial"/>
          <w:sz w:val="20"/>
          <w:szCs w:val="20"/>
        </w:rPr>
        <w:t xml:space="preserve">All 4 dimensions fully addressed. D1 (Assess &amp; Bound) covered by 16 controls including ATK authorization, DTG anomaly detection, HIC gates, AUT level assignment, and OPA testing. D2 (Human Accountability) by 12 controls spanning HIC and AIM composite identity. D3 (Technical Controls) by 24 controls. D4 (End-User Responsibility) partially addressed by ATK-C04 output safety and EGA evidence transparency; this dimension primarily concerns organizational process, not runtime controls.</w:t>
      </w:r>
    </w:p>
    <w:p>
      <w:pPr>
        <w:sectPr>
          <w:headerReference w:type="default" r:id="rId15"/>
          <w:footerReference w:type="default" r:id="rId16"/>
          <w:pgSz w:w="15840" w:h="12240" w:orient="landscape"/>
          <w:pgMar w:top="1080" w:right="1080" w:bottom="1080" w:left="1080" w:header="708" w:footer="708" w:gutter="0"/>
          <w:pgNumType/>
          <w:docGrid w:linePitch="360"/>
        </w:sectPr>
      </w:pPr>
    </w:p>
    <w:p>
      <w:pPr>
        <w:pStyle w:val="Heading1"/>
      </w:pPr>
      <w:r>
        <w:t xml:space="preserve">6. Crosswalk Sheet 5: ARHIA ↔ NIST AI RMF + CSF 2.0</w:t>
      </w:r>
    </w:p>
    <w:p>
      <w:pPr>
        <w:spacing w:after="100" w:line="260"/>
      </w:pPr>
      <w:r>
        <w:rPr>
          <w:rFonts w:ascii="Arial" w:cs="Arial" w:eastAsia="Arial" w:hAnsi="Arial"/>
          <w:sz w:val="20"/>
          <w:szCs w:val="20"/>
        </w:rPr>
        <w:t xml:space="preserve">This sheet maps ARHIA controls against NIST AI RMF functions (GOVERN, MAP, MEASURE, MANAGE) and NIST CSF 2.0 functions (Govern, Identify, Protect, Detect, Respond, Recover). Key controls are shown.</w:t>
      </w:r>
    </w:p>
    <w:p>
      <w:pPr>
        <w:spacing w:after="6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16"/>
        <w:gridCol w:w="1016"/>
        <w:gridCol w:w="1016"/>
        <w:gridCol w:w="1016"/>
        <w:gridCol w:w="1016"/>
        <w:gridCol w:w="1016"/>
        <w:gridCol w:w="1016"/>
        <w:gridCol w:w="1016"/>
        <w:gridCol w:w="1016"/>
        <w:gridCol w:w="1016"/>
      </w:tblGrid>
      <w:tr>
        <w:tc>
          <w:tcPr>
            <w:tcW w:type="dxa" w:w="10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ID</w:t>
            </w:r>
          </w:p>
        </w:tc>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Control</w:t>
            </w:r>
          </w:p>
        </w:tc>
        <w:tc>
          <w:tcPr>
            <w:tcW w:type="dxa" w:w="1016"/>
            <w:tcBorders>
              <w:top w:val="single" w:color="CCCCCC" w:sz="1"/>
              <w:left w:val="single" w:color="CCCCCC" w:sz="1"/>
              <w:bottom w:val="single" w:color="CCCCCC" w:sz="1"/>
              <w:right w:val="single" w:color="CCCCCC" w:sz="1"/>
            </w:tcBorders>
            <w:shd w:fill="0D47A1" w:val="clear"/>
            <w:tcMar>
              <w:top w:type="dxa" w:w="60"/>
              <w:left w:type="dxa" w:w="80"/>
              <w:bottom w:type="dxa" w:w="60"/>
              <w:right w:type="dxa" w:w="80"/>
            </w:tcMar>
            <w:vAlign w:val="center"/>
          </w:tcPr>
          <w:p>
            <w:r>
              <w:rPr>
                <w:rFonts w:ascii="Arial" w:cs="Arial" w:eastAsia="Arial" w:hAnsi="Arial"/>
                <w:b/>
                <w:bCs/>
                <w:color w:val="FFFFFF"/>
                <w:sz w:val="15"/>
                <w:szCs w:val="15"/>
              </w:rPr>
              <w:t xml:space="preserve">RMF GOV</w:t>
            </w:r>
          </w:p>
        </w:tc>
        <w:tc>
          <w:tcPr>
            <w:tcW w:type="dxa" w:w="1016"/>
            <w:tcBorders>
              <w:top w:val="single" w:color="CCCCCC" w:sz="1"/>
              <w:left w:val="single" w:color="CCCCCC" w:sz="1"/>
              <w:bottom w:val="single" w:color="CCCCCC" w:sz="1"/>
              <w:right w:val="single" w:color="CCCCCC" w:sz="1"/>
            </w:tcBorders>
            <w:shd w:fill="0D47A1" w:val="clear"/>
            <w:tcMar>
              <w:top w:type="dxa" w:w="60"/>
              <w:left w:type="dxa" w:w="80"/>
              <w:bottom w:type="dxa" w:w="60"/>
              <w:right w:type="dxa" w:w="80"/>
            </w:tcMar>
            <w:vAlign w:val="center"/>
          </w:tcPr>
          <w:p>
            <w:r>
              <w:rPr>
                <w:rFonts w:ascii="Arial" w:cs="Arial" w:eastAsia="Arial" w:hAnsi="Arial"/>
                <w:b/>
                <w:bCs/>
                <w:color w:val="FFFFFF"/>
                <w:sz w:val="15"/>
                <w:szCs w:val="15"/>
              </w:rPr>
              <w:t xml:space="preserve">RMF MAP</w:t>
            </w:r>
          </w:p>
        </w:tc>
        <w:tc>
          <w:tcPr>
            <w:tcW w:type="dxa" w:w="1016"/>
            <w:tcBorders>
              <w:top w:val="single" w:color="CCCCCC" w:sz="1"/>
              <w:left w:val="single" w:color="CCCCCC" w:sz="1"/>
              <w:bottom w:val="single" w:color="CCCCCC" w:sz="1"/>
              <w:right w:val="single" w:color="CCCCCC" w:sz="1"/>
            </w:tcBorders>
            <w:shd w:fill="0D47A1" w:val="clear"/>
            <w:tcMar>
              <w:top w:type="dxa" w:w="60"/>
              <w:left w:type="dxa" w:w="80"/>
              <w:bottom w:type="dxa" w:w="60"/>
              <w:right w:type="dxa" w:w="80"/>
            </w:tcMar>
            <w:vAlign w:val="center"/>
          </w:tcPr>
          <w:p>
            <w:r>
              <w:rPr>
                <w:rFonts w:ascii="Arial" w:cs="Arial" w:eastAsia="Arial" w:hAnsi="Arial"/>
                <w:b/>
                <w:bCs/>
                <w:color w:val="FFFFFF"/>
                <w:sz w:val="15"/>
                <w:szCs w:val="15"/>
              </w:rPr>
              <w:t xml:space="preserve">RMF MEAS</w:t>
            </w:r>
          </w:p>
        </w:tc>
        <w:tc>
          <w:tcPr>
            <w:tcW w:type="dxa" w:w="1016"/>
            <w:tcBorders>
              <w:top w:val="single" w:color="CCCCCC" w:sz="1"/>
              <w:left w:val="single" w:color="CCCCCC" w:sz="1"/>
              <w:bottom w:val="single" w:color="CCCCCC" w:sz="1"/>
              <w:right w:val="single" w:color="CCCCCC" w:sz="1"/>
            </w:tcBorders>
            <w:shd w:fill="0D47A1" w:val="clear"/>
            <w:tcMar>
              <w:top w:type="dxa" w:w="60"/>
              <w:left w:type="dxa" w:w="80"/>
              <w:bottom w:type="dxa" w:w="60"/>
              <w:right w:type="dxa" w:w="80"/>
            </w:tcMar>
            <w:vAlign w:val="center"/>
          </w:tcPr>
          <w:p>
            <w:r>
              <w:rPr>
                <w:rFonts w:ascii="Arial" w:cs="Arial" w:eastAsia="Arial" w:hAnsi="Arial"/>
                <w:b/>
                <w:bCs/>
                <w:color w:val="FFFFFF"/>
                <w:sz w:val="15"/>
                <w:szCs w:val="15"/>
              </w:rPr>
              <w:t xml:space="preserve">RMF MGMT</w:t>
            </w:r>
          </w:p>
        </w:tc>
        <w:tc>
          <w:tcPr>
            <w:tcW w:type="dxa" w:w="1016"/>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CSF Gov</w:t>
            </w:r>
          </w:p>
        </w:tc>
        <w:tc>
          <w:tcPr>
            <w:tcW w:type="dxa" w:w="1016"/>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CSF Ident</w:t>
            </w:r>
          </w:p>
        </w:tc>
        <w:tc>
          <w:tcPr>
            <w:tcW w:type="dxa" w:w="1016"/>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CSF Prot</w:t>
            </w:r>
          </w:p>
        </w:tc>
        <w:tc>
          <w:tcPr>
            <w:tcW w:type="dxa" w:w="1016"/>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CSF Detect</w:t>
            </w:r>
          </w:p>
        </w:tc>
        <w:tc>
          <w:tcPr>
            <w:tcW w:type="dxa" w:w="1016"/>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CSF Resp</w:t>
            </w:r>
          </w:p>
        </w:tc>
        <w:tc>
          <w:tcPr>
            <w:tcW w:type="dxa" w:w="1016"/>
            <w:tcBorders>
              <w:top w:val="single" w:color="CCCCCC" w:sz="1"/>
              <w:left w:val="single" w:color="CCCCCC" w:sz="1"/>
              <w:bottom w:val="single" w:color="CCCCCC" w:sz="1"/>
              <w:right w:val="single" w:color="CCCCCC" w:sz="1"/>
            </w:tcBorders>
            <w:shd w:fill="1565C0" w:val="clear"/>
            <w:tcMar>
              <w:top w:type="dxa" w:w="60"/>
              <w:left w:type="dxa" w:w="80"/>
              <w:bottom w:type="dxa" w:w="60"/>
              <w:right w:type="dxa" w:w="80"/>
            </w:tcMar>
            <w:vAlign w:val="center"/>
          </w:tcPr>
          <w:p>
            <w:r>
              <w:rPr>
                <w:rFonts w:ascii="Arial" w:cs="Arial" w:eastAsia="Arial" w:hAnsi="Arial"/>
                <w:b/>
                <w:bCs/>
                <w:color w:val="FFFFFF"/>
                <w:sz w:val="15"/>
                <w:szCs w:val="15"/>
              </w:rPr>
              <w:t xml:space="preserve">CSF Recov</w:t>
            </w:r>
          </w:p>
        </w:tc>
      </w:tr>
      <w:tr>
        <w:tc>
          <w:tcPr>
            <w:tcW w:type="dxa" w:w="12960"/>
            <w:gridSpan w:val="12"/>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5"/>
                <w:szCs w:val="15"/>
              </w:rPr>
              <w:t xml:space="preserve">Key ARHIA Controls (selected for highest coverage signal)</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ATK-C02</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Auth. Scope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ATK-C05</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Outcome Class.</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Traj. Log</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DTG-C02</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Anomaly Det.</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DTG-C03</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Cross-Domain</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DTG-C04</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Playbook Trig.</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Cred. Issue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AIM-C03</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Composite ID</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Pre-Deploy</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HIC-C02</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High-Impact</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HIC-C03</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Escalation</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HIC-C05</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Periodic Review</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OPA-C01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Bundle Deploy</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OPA-C03</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Regression Test</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AUT-C01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Level Assign</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AUT-C05</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Gov Sign-off</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ABO-C01</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Registration</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EGA-C03</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Chain Custody</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1B2A4A"/>
                <w:sz w:val="14"/>
                <w:szCs w:val="14"/>
              </w:rPr>
              <w:t xml:space="preserve">EGA-C04</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Retention Pol.</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c>
          <w:tcPr>
            <w:tcW w:type="dxa" w:w="1016"/>
            <w:tcBorders>
              <w:top w:val="single" w:color="CCCCCC" w:sz="1"/>
              <w:left w:val="single" w:color="CCCCCC" w:sz="1"/>
              <w:bottom w:val="single" w:color="CCCCCC" w:sz="1"/>
              <w:right w:val="single" w:color="CCCCCC" w:sz="1"/>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w:t>
            </w:r>
          </w:p>
        </w:tc>
      </w:tr>
    </w:tbl>
    <w:p>
      <w:pPr>
        <w:spacing w:before="120"/>
      </w:pPr>
    </w:p>
    <w:p>
      <w:pPr>
        <w:spacing w:after="100" w:line="260"/>
      </w:pPr>
      <w:r>
        <w:rPr>
          <w:rFonts w:ascii="Arial" w:cs="Arial" w:eastAsia="Arial" w:hAnsi="Arial"/>
          <w:b/>
          <w:bCs/>
          <w:color w:val="1B2A4A"/>
          <w:sz w:val="20"/>
          <w:szCs w:val="20"/>
        </w:rPr>
        <w:t xml:space="preserve">NIST Coverage: </w:t>
      </w:r>
      <w:r>
        <w:rPr>
          <w:rFonts w:ascii="Arial" w:cs="Arial" w:eastAsia="Arial" w:hAnsi="Arial"/>
          <w:sz w:val="20"/>
          <w:szCs w:val="20"/>
        </w:rPr>
        <w:t xml:space="preserve">All 4 AI RMF functions covered: GOVERN (9 controls), MAP (7), MEASURE (8), MANAGE (14). All 6 CSF 2.0 functions covered except Recover, which has partial coverage through DTG-C04 playbook triggers and HIC-C03 escalation. The Recover function primarily concerns business continuity planning, which is organizational rather than runtime.</w:t>
      </w:r>
    </w:p>
    <w:p>
      <w:pPr>
        <w:sectPr>
          <w:headerReference w:type="default" r:id="rId17"/>
          <w:footerReference w:type="default" r:id="rId18"/>
          <w:pgSz w:w="15840" w:h="12240" w:orient="landscape"/>
          <w:pgMar w:top="1080" w:right="1080" w:bottom="1080" w:left="1080" w:header="708" w:footer="708" w:gutter="0"/>
          <w:pgNumType/>
          <w:docGrid w:linePitch="360"/>
        </w:sectPr>
      </w:pPr>
    </w:p>
    <w:p>
      <w:pPr>
        <w:pStyle w:val="Heading1"/>
      </w:pPr>
      <w:r>
        <w:t xml:space="preserve">7. Master Crosswalk Summary (Task 2.6)</w:t>
      </w:r>
    </w:p>
    <w:p>
      <w:pPr>
        <w:pStyle w:val="Heading2"/>
      </w:pPr>
      <w:r>
        <w:t xml:space="preserve">7.1 Coverage Heat Map Summary</w:t>
      </w:r>
    </w:p>
    <w:p>
      <w:pPr>
        <w:spacing w:after="100" w:line="260"/>
      </w:pPr>
      <w:r>
        <w:rPr>
          <w:rFonts w:ascii="Arial" w:cs="Arial" w:eastAsia="Arial" w:hAnsi="Arial"/>
          <w:sz w:val="20"/>
          <w:szCs w:val="20"/>
        </w:rPr>
        <w:t xml:space="preserve">This table consolidates all five crosswalk sheets into a single coverage view per ARHIA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ARHIA Subsystem</w:t>
            </w:r>
          </w:p>
        </w:tc>
        <w:tc>
          <w:tcPr>
            <w:tcW w:type="dxa" w:w="1512"/>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ARISE</w:t>
            </w:r>
          </w:p>
        </w:tc>
        <w:tc>
          <w:tcPr>
            <w:tcW w:type="dxa" w:w="1512"/>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OWASP ASI</w:t>
            </w:r>
          </w:p>
        </w:tc>
        <w:tc>
          <w:tcPr>
            <w:tcW w:type="dxa" w:w="1512"/>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CSA ATF</w:t>
            </w:r>
          </w:p>
        </w:tc>
        <w:tc>
          <w:tcPr>
            <w:tcW w:type="dxa" w:w="1512"/>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SG MGF</w:t>
            </w:r>
          </w:p>
        </w:tc>
        <w:tc>
          <w:tcPr>
            <w:tcW w:type="dxa" w:w="1512"/>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NIST</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ATK (7 controls)</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7/7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6/7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7/7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7/7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5/7 key</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DTG (5 controls)</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5/5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5/5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5/5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4/5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4/5 key</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ABO (3 controls)</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3/3 mapped</w:t>
            </w:r>
          </w:p>
        </w:tc>
        <w:tc>
          <w:tcPr>
            <w:tcW w:type="dxa" w:w="1512"/>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1/3 key</w:t>
            </w:r>
          </w:p>
        </w:tc>
        <w:tc>
          <w:tcPr>
            <w:tcW w:type="dxa" w:w="1512"/>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0/3 direct</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3/3 mapped</w:t>
            </w:r>
          </w:p>
        </w:tc>
        <w:tc>
          <w:tcPr>
            <w:tcW w:type="dxa" w:w="1512"/>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1/3 key</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HIC (5 controls)</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5/5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3/5 key</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4/5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5/5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4/5 key</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OPA (4 controls)</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4/4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2/4 key</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2/4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2/4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2/4 key</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AUT (5 controls)</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5/5 mapped</w:t>
            </w:r>
          </w:p>
        </w:tc>
        <w:tc>
          <w:tcPr>
            <w:tcW w:type="dxa" w:w="1512"/>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0/5 direct</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2/5 mapped</w:t>
            </w:r>
          </w:p>
        </w:tc>
        <w:tc>
          <w:tcPr>
            <w:tcW w:type="dxa" w:w="1512"/>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1/5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2/5 key</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AIM (3 controls)</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3/3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2/3 key</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3/3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2/3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2/3 key</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4"/>
                <w:szCs w:val="14"/>
              </w:rPr>
              <w:t xml:space="preserve">EGA (4 controls)</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4/4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1/4 key</w:t>
            </w:r>
          </w:p>
        </w:tc>
        <w:tc>
          <w:tcPr>
            <w:tcW w:type="dxa" w:w="1512"/>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sz w:val="13"/>
                <w:szCs w:val="13"/>
              </w:rPr>
              <w:t xml:space="preserve">1/4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2/4 mapped</w:t>
            </w:r>
          </w:p>
        </w:tc>
        <w:tc>
          <w:tcPr>
            <w:tcW w:type="dxa" w:w="1512"/>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vAlign w:val="center"/>
          </w:tcPr>
          <w:p>
            <w:pPr>
              <w:jc w:val="center"/>
            </w:pPr>
            <w:r>
              <w:rPr>
                <w:rFonts w:ascii="Arial" w:cs="Arial" w:eastAsia="Arial" w:hAnsi="Arial"/>
                <w:b/>
                <w:bCs/>
                <w:sz w:val="13"/>
                <w:szCs w:val="13"/>
              </w:rPr>
              <w:t xml:space="preserve">2/4 key</w:t>
            </w:r>
          </w:p>
        </w:tc>
      </w:tr>
    </w:tbl>
    <w:p>
      <w:pPr>
        <w:spacing w:after="160"/>
      </w:pPr>
    </w:p>
    <w:p>
      <w:pPr>
        <w:pStyle w:val="Heading2"/>
      </w:pPr>
      <w:r>
        <w:t xml:space="preserve">7.2 Key Findings</w:t>
      </w:r>
    </w:p>
    <w:p>
      <w:pPr>
        <w:spacing w:after="100" w:line="260"/>
      </w:pPr>
      <w:r>
        <w:rPr>
          <w:rFonts w:ascii="Arial" w:cs="Arial" w:eastAsia="Arial" w:hAnsi="Arial"/>
          <w:b/>
          <w:bCs/>
          <w:sz w:val="20"/>
          <w:szCs w:val="20"/>
        </w:rPr>
        <w:t xml:space="preserve">1. Zero unaddressed gaps. </w:t>
      </w:r>
      <w:r>
        <w:rPr>
          <w:rFonts w:ascii="Arial" w:cs="Arial" w:eastAsia="Arial" w:hAnsi="Arial"/>
          <w:sz w:val="20"/>
          <w:szCs w:val="20"/>
        </w:rPr>
        <w:t xml:space="preserve">Across 36 frameworks-requirements (7+10+5+4+10), ARHIA v11.4 provides full or partial coverage for 100%. No framework requirement is left without at least one ARHIA control mapping.</w:t>
      </w:r>
    </w:p>
    <w:p>
      <w:pPr>
        <w:spacing w:after="100" w:line="260"/>
      </w:pPr>
      <w:r>
        <w:rPr>
          <w:rFonts w:ascii="Arial" w:cs="Arial" w:eastAsia="Arial" w:hAnsi="Arial"/>
          <w:b/>
          <w:bCs/>
          <w:sz w:val="20"/>
          <w:szCs w:val="20"/>
        </w:rPr>
        <w:t xml:space="preserve">2. Strongest coverage areas: </w:t>
      </w:r>
      <w:r>
        <w:rPr>
          <w:rFonts w:ascii="Arial" w:cs="Arial" w:eastAsia="Arial" w:hAnsi="Arial"/>
          <w:sz w:val="20"/>
          <w:szCs w:val="20"/>
        </w:rPr>
        <w:t xml:space="preserve">ARISE (100% full across 7 domains), CSA ATF (100% full across 5 elements), and Singapore MGF (100% full across 4 dimensions). These three frameworks have the cleanest architectural alignment with ARHIA.</w:t>
      </w:r>
    </w:p>
    <w:p>
      <w:pPr>
        <w:spacing w:after="100" w:line="260"/>
      </w:pPr>
      <w:r>
        <w:rPr>
          <w:rFonts w:ascii="Arial" w:cs="Arial" w:eastAsia="Arial" w:hAnsi="Arial"/>
          <w:b/>
          <w:bCs/>
          <w:sz w:val="20"/>
          <w:szCs w:val="20"/>
        </w:rPr>
        <w:t xml:space="preserve">3. Partial coverage areas: </w:t>
      </w:r>
      <w:r>
        <w:rPr>
          <w:rFonts w:ascii="Arial" w:cs="Arial" w:eastAsia="Arial" w:hAnsi="Arial"/>
          <w:sz w:val="20"/>
          <w:szCs w:val="20"/>
        </w:rPr>
        <w:t xml:space="preserve">OWASP ASI-06 (RAG Poisoning) and ASI-09 (Overreliance) are partially covered because they involve user behavioral patterns that no runtime can fully enforce. NIST CSF Recover is partially covered because it concerns business continuity planning, which is organizational scope.</w:t>
      </w:r>
    </w:p>
    <w:p>
      <w:pPr>
        <w:spacing w:after="100" w:line="260"/>
      </w:pPr>
      <w:r>
        <w:rPr>
          <w:rFonts w:ascii="Arial" w:cs="Arial" w:eastAsia="Arial" w:hAnsi="Arial"/>
          <w:b/>
          <w:bCs/>
          <w:sz w:val="20"/>
          <w:szCs w:val="20"/>
        </w:rPr>
        <w:t xml:space="preserve">4. GTM implication: </w:t>
      </w:r>
      <w:r>
        <w:rPr>
          <w:rFonts w:ascii="Arial" w:cs="Arial" w:eastAsia="Arial" w:hAnsi="Arial"/>
          <w:sz w:val="20"/>
          <w:szCs w:val="20"/>
        </w:rPr>
        <w:t xml:space="preserve">ARHIA can credibly claim compatibility with all 5 frameworks, supporting the positioning statement: "ARISE defines what. NIST defines why. CSA ATF defines how much. ARHIA executes all three."</w:t>
      </w:r>
    </w:p>
    <w:p>
      <w:pPr>
        <w:pStyle w:val="Heading2"/>
      </w:pPr>
      <w:r>
        <w:t xml:space="preserve">7.3 Machine-Readable Format</w:t>
      </w:r>
    </w:p>
    <w:p>
      <w:pPr>
        <w:spacing w:after="100" w:line="260"/>
      </w:pPr>
      <w:r>
        <w:rPr>
          <w:rFonts w:ascii="Arial" w:cs="Arial" w:eastAsia="Arial" w:hAnsi="Arial"/>
          <w:sz w:val="20"/>
          <w:szCs w:val="20"/>
        </w:rPr>
        <w:t xml:space="preserve">The complete Master Crosswalk Matrix will be published as a JSON file (arhia-crosswalk-v114.json) and a YAML file (arhia-crosswalk-v114.yaml) containing every control-to-framework mapping with coverage level (full/partial/none), specific framework requirement IDs, and implementation notes. This enables automated gap analysis: given a target framework, the system generates a compliance report showing exactly which ARHIA controls satisfy which requirements.</w:t>
      </w:r>
    </w:p>
    <w:p>
      <w:pPr>
        <w:spacing w:after="200" w:before="200"/>
      </w:pPr>
    </w:p>
    <w:p>
      <w:pPr>
        <w:pStyle w:val="Heading1"/>
      </w:pPr>
      <w:r>
        <w:t xml:space="preserve">8. Phase 2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80"/>
        <w:gridCol w:w="2280"/>
      </w:tblGrid>
      <w:tr>
        <w:tc>
          <w:tcPr>
            <w:tcW w:type="dxa" w:w="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w:t>
            </w:r>
          </w:p>
        </w:tc>
        <w:tc>
          <w:tcPr>
            <w:tcW w:type="dxa" w:w="4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Task</w:t>
            </w:r>
          </w:p>
        </w:tc>
        <w:tc>
          <w:tcPr>
            <w:tcW w:type="dxa" w:w="228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Status</w:t>
            </w:r>
          </w:p>
        </w:tc>
        <w:tc>
          <w:tcPr>
            <w:tcW w:type="dxa" w:w="228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vAlign w:val="center"/>
          </w:tcPr>
          <w:p>
            <w:r>
              <w:rPr>
                <w:rFonts w:ascii="Arial" w:cs="Arial" w:eastAsia="Arial" w:hAnsi="Arial"/>
                <w:b/>
                <w:bCs/>
                <w:color w:val="FFFFFF"/>
                <w:sz w:val="15"/>
                <w:szCs w:val="15"/>
              </w:rPr>
              <w:t xml:space="preserve">Coverage</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2.1</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ARHIA ↔ ARISE 7-domain crosswalk</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2E7D32"/>
                <w:sz w:val="14"/>
                <w:szCs w:val="14"/>
              </w:rPr>
              <w:t xml:space="preserve">COMPLETE</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7/7 domains (100%)</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2.2</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ARHIA ↔ OWASP Agentic Top 10 crosswalk</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2E7D32"/>
                <w:sz w:val="14"/>
                <w:szCs w:val="14"/>
              </w:rPr>
              <w:t xml:space="preserve">COMPLETE</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10/10 risks (100%)</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2.3</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ARHIA ↔ CSA ATF 5-element crosswalk</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2E7D32"/>
                <w:sz w:val="14"/>
                <w:szCs w:val="14"/>
              </w:rPr>
              <w:t xml:space="preserve">COMPLETE</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5/5 elements (100%)</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2.4</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ARHIA ↔ Singapore MGF 4-dimension crosswalk</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2E7D32"/>
                <w:sz w:val="14"/>
                <w:szCs w:val="14"/>
              </w:rPr>
              <w:t xml:space="preserve">COMPLETE</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4/4 dimensions (100%)</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2.5</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ARHIA ↔ NIST AI RMF + CSF 2.0 crosswalk</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2E7D32"/>
                <w:sz w:val="14"/>
                <w:szCs w:val="14"/>
              </w:rPr>
              <w:t xml:space="preserve">COMPLETE</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10/10 functions (100%)</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2.6</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Master Crosswalk Matrix consolidation</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2E7D32"/>
                <w:sz w:val="14"/>
                <w:szCs w:val="14"/>
              </w:rPr>
              <w:t xml:space="preserve">COMPLETE</w:t>
            </w:r>
          </w:p>
        </w:tc>
        <w:tc>
          <w:tcPr>
            <w:tcW w:type="dxa" w:w="22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4"/>
                <w:szCs w:val="14"/>
              </w:rPr>
              <w:t xml:space="preserve">5 frameworks consolidated</w:t>
            </w:r>
          </w:p>
        </w:tc>
      </w:tr>
    </w:tbl>
    <w:p>
      <w:pPr>
        <w:spacing w:after="160"/>
      </w:pPr>
    </w:p>
    <w:p>
      <w:pPr>
        <w:pStyle w:val="Heading2"/>
      </w:pPr>
      <w:r>
        <w:t xml:space="preserve">8.1 Next: Phase 3 — Technical Extension</w:t>
      </w:r>
    </w:p>
    <w:p>
      <w:pPr>
        <w:spacing w:after="100" w:line="260"/>
      </w:pPr>
      <w:r>
        <w:rPr>
          <w:rFonts w:ascii="Arial" w:cs="Arial" w:eastAsia="Arial" w:hAnsi="Arial"/>
          <w:sz w:val="20"/>
          <w:szCs w:val="20"/>
        </w:rPr>
        <w:t xml:space="preserve">Phase 3 builds the technical capabilities that close the gaps identified in Phase 2: D-TCG+ Cross-Domain Correlation Engine architecture, Behavioral Baseline Registry schema, OWASP ASI incident playbook templates (10 playbooks), new OPA/Rego policy bundles for AIM and EGA, and unified D-TCG+ v2 specification.</w:t>
      </w:r>
    </w:p>
    <w:p>
      <w:pPr>
        <w:spacing w:before="300"/>
      </w:pPr>
    </w:p>
    <w:p>
      <w:pPr>
        <w:pBdr>
          <w:top w:val="single" w:color="1B2A4A" w:sz="4" w:space="6"/>
          <w:bottom w:val="single" w:color="1B2A4A" w:sz="4" w:space="6"/>
        </w:pBdr>
        <w:jc w:val="center"/>
      </w:pPr>
      <w:r>
        <w:rPr>
          <w:rFonts w:ascii="Arial" w:cs="Arial" w:eastAsia="Arial" w:hAnsi="Arial"/>
          <w:i/>
          <w:iCs/>
          <w:color w:val="666666"/>
          <w:sz w:val="17"/>
          <w:szCs w:val="17"/>
        </w:rPr>
        <w:t xml:space="preserve">End of Document — TR-2026-032 — ARHIA v11.4 Phase 2: Crosswalk Construction</w:t>
      </w:r>
    </w:p>
    <w:sectPr>
      <w:headerReference w:type="default" r:id="rId19"/>
      <w:footerReference w:type="default" r:id="rId2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Sinergia Consulting Group S.A.S.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Sinergia Consulting Group S.A.S.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Sinergia Consulting Group S.A.S.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Sinergia Consulting Group S.A.S.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Sinergia Consulting Group S.A.S.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Sinergia Consulting Group S.A.S.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Sinergia Consulting Group S.A.S.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3"/>
      </w:pBdr>
      <w:tabs>
        <w:tab w:val="right" w:pos="9026"/>
      </w:tabs>
    </w:pPr>
    <w:r>
      <w:rPr>
        <w:rFonts w:ascii="Arial" w:cs="Arial" w:eastAsia="Arial" w:hAnsi="Arial"/>
        <w:i/>
        <w:iCs/>
        <w:color w:val="666666"/>
        <w:sz w:val="14"/>
        <w:szCs w:val="14"/>
      </w:rPr>
      <w:t xml:space="preserve">ARHIA v11.4 — Phase 2: Crosswalk Construction</w:t>
    </w:r>
    <w:r>
      <w:rPr>
        <w:rFonts w:ascii="Arial" w:cs="Arial" w:eastAsia="Arial" w:hAnsi="Arial"/>
        <w:i/>
        <w:iCs/>
        <w:color w:val="666666"/>
        <w:sz w:val="14"/>
        <w:szCs w:val="14"/>
      </w:rPr>
      <w:t xml:space="preserve">	TR-2026-032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3"/>
      </w:pBdr>
      <w:tabs>
        <w:tab w:val="right" w:pos="9026"/>
      </w:tabs>
    </w:pPr>
    <w:r>
      <w:rPr>
        <w:rFonts w:ascii="Arial" w:cs="Arial" w:eastAsia="Arial" w:hAnsi="Arial"/>
        <w:i/>
        <w:iCs/>
        <w:color w:val="666666"/>
        <w:sz w:val="14"/>
        <w:szCs w:val="14"/>
      </w:rPr>
      <w:t xml:space="preserve">ARHIA v11.4 — Phase 2: Crosswalk Construction</w:t>
    </w:r>
    <w:r>
      <w:rPr>
        <w:rFonts w:ascii="Arial" w:cs="Arial" w:eastAsia="Arial" w:hAnsi="Arial"/>
        <w:i/>
        <w:iCs/>
        <w:color w:val="666666"/>
        <w:sz w:val="14"/>
        <w:szCs w:val="14"/>
      </w:rPr>
      <w:t xml:space="preserve">	TR-2026-032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3"/>
      </w:pBdr>
      <w:tabs>
        <w:tab w:val="right" w:pos="9026"/>
      </w:tabs>
    </w:pPr>
    <w:r>
      <w:rPr>
        <w:rFonts w:ascii="Arial" w:cs="Arial" w:eastAsia="Arial" w:hAnsi="Arial"/>
        <w:i/>
        <w:iCs/>
        <w:color w:val="666666"/>
        <w:sz w:val="14"/>
        <w:szCs w:val="14"/>
      </w:rPr>
      <w:t xml:space="preserve">ARHIA v11.4 — Phase 2: Crosswalk Construction</w:t>
    </w:r>
    <w:r>
      <w:rPr>
        <w:rFonts w:ascii="Arial" w:cs="Arial" w:eastAsia="Arial" w:hAnsi="Arial"/>
        <w:i/>
        <w:iCs/>
        <w:color w:val="666666"/>
        <w:sz w:val="14"/>
        <w:szCs w:val="14"/>
      </w:rPr>
      <w:t xml:space="preserve">	TR-2026-032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3"/>
      </w:pBdr>
      <w:tabs>
        <w:tab w:val="right" w:pos="9026"/>
      </w:tabs>
    </w:pPr>
    <w:r>
      <w:rPr>
        <w:rFonts w:ascii="Arial" w:cs="Arial" w:eastAsia="Arial" w:hAnsi="Arial"/>
        <w:i/>
        <w:iCs/>
        <w:color w:val="666666"/>
        <w:sz w:val="14"/>
        <w:szCs w:val="14"/>
      </w:rPr>
      <w:t xml:space="preserve">ARHIA v11.4 — Phase 2: Crosswalk Construction</w:t>
    </w:r>
    <w:r>
      <w:rPr>
        <w:rFonts w:ascii="Arial" w:cs="Arial" w:eastAsia="Arial" w:hAnsi="Arial"/>
        <w:i/>
        <w:iCs/>
        <w:color w:val="666666"/>
        <w:sz w:val="14"/>
        <w:szCs w:val="14"/>
      </w:rPr>
      <w:t xml:space="preserve">	TR-2026-032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3"/>
      </w:pBdr>
      <w:tabs>
        <w:tab w:val="right" w:pos="9026"/>
      </w:tabs>
    </w:pPr>
    <w:r>
      <w:rPr>
        <w:rFonts w:ascii="Arial" w:cs="Arial" w:eastAsia="Arial" w:hAnsi="Arial"/>
        <w:i/>
        <w:iCs/>
        <w:color w:val="666666"/>
        <w:sz w:val="14"/>
        <w:szCs w:val="14"/>
      </w:rPr>
      <w:t xml:space="preserve">ARHIA v11.4 — Phase 2: Crosswalk Construction</w:t>
    </w:r>
    <w:r>
      <w:rPr>
        <w:rFonts w:ascii="Arial" w:cs="Arial" w:eastAsia="Arial" w:hAnsi="Arial"/>
        <w:i/>
        <w:iCs/>
        <w:color w:val="666666"/>
        <w:sz w:val="14"/>
        <w:szCs w:val="14"/>
      </w:rPr>
      <w:t xml:space="preserve">	TR-2026-032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3"/>
      </w:pBdr>
      <w:tabs>
        <w:tab w:val="right" w:pos="9026"/>
      </w:tabs>
    </w:pPr>
    <w:r>
      <w:rPr>
        <w:rFonts w:ascii="Arial" w:cs="Arial" w:eastAsia="Arial" w:hAnsi="Arial"/>
        <w:i/>
        <w:iCs/>
        <w:color w:val="666666"/>
        <w:sz w:val="14"/>
        <w:szCs w:val="14"/>
      </w:rPr>
      <w:t xml:space="preserve">ARHIA v11.4 — Phase 2: Crosswalk Construction</w:t>
    </w:r>
    <w:r>
      <w:rPr>
        <w:rFonts w:ascii="Arial" w:cs="Arial" w:eastAsia="Arial" w:hAnsi="Arial"/>
        <w:i/>
        <w:iCs/>
        <w:color w:val="666666"/>
        <w:sz w:val="14"/>
        <w:szCs w:val="14"/>
      </w:rPr>
      <w:t xml:space="preserve">	TR-2026-032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3"/>
      </w:pBdr>
      <w:tabs>
        <w:tab w:val="right" w:pos="9026"/>
      </w:tabs>
    </w:pPr>
    <w:r>
      <w:rPr>
        <w:rFonts w:ascii="Arial" w:cs="Arial" w:eastAsia="Arial" w:hAnsi="Arial"/>
        <w:i/>
        <w:iCs/>
        <w:color w:val="666666"/>
        <w:sz w:val="14"/>
        <w:szCs w:val="14"/>
      </w:rPr>
      <w:t xml:space="preserve">ARHIA v11.4 — Phase 2: Crosswalk Construction</w:t>
    </w:r>
    <w:r>
      <w:rPr>
        <w:rFonts w:ascii="Arial" w:cs="Arial" w:eastAsia="Arial" w:hAnsi="Arial"/>
        <w:i/>
        <w:iCs/>
        <w:color w:val="666666"/>
        <w:sz w:val="14"/>
        <w:szCs w:val="14"/>
      </w:rPr>
      <w:t xml:space="preserve">	TR-2026-032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2026-04-03T21:57:48.916Z</dcterms:created>
  <dcterms:modified xsi:type="dcterms:W3CDTF">2026-04-03T21:57:48.918Z</dcterms:modified>
</cp:coreProperties>
</file>

<file path=docProps/custom.xml><?xml version="1.0" encoding="utf-8"?>
<Properties xmlns="http://schemas.openxmlformats.org/officeDocument/2006/custom-properties" xmlns:vt="http://schemas.openxmlformats.org/officeDocument/2006/docPropsVTypes"/>
</file>