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666666"/>
          <w:sz w:val="20"/>
          <w:szCs w:val="20"/>
        </w:rPr>
        <w:t xml:space="preserve">SINERGIA CONSULTING GROUP S.A.S.</w:t>
      </w:r>
    </w:p>
    <w:p>
      <w:pPr>
        <w:spacing w:after="60"/>
        <w:jc w:val="center"/>
      </w:pPr>
      <w:r>
        <w:rPr>
          <w:rFonts w:ascii="Arial" w:cs="Arial" w:eastAsia="Arial" w:hAnsi="Arial"/>
          <w:b/>
          <w:bCs/>
          <w:color w:val="1B2A4A"/>
          <w:sz w:val="60"/>
          <w:szCs w:val="60"/>
        </w:rPr>
        <w:t xml:space="preserve">ARHIA v11.4</w:t>
      </w:r>
    </w:p>
    <w:p>
      <w:pPr>
        <w:spacing w:after="60"/>
        <w:jc w:val="center"/>
      </w:pPr>
      <w:r>
        <w:rPr>
          <w:rFonts w:ascii="Arial" w:cs="Arial" w:eastAsia="Arial" w:hAnsi="Arial"/>
          <w:b/>
          <w:bCs/>
          <w:color w:val="2E75B6"/>
          <w:sz w:val="34"/>
          <w:szCs w:val="34"/>
        </w:rPr>
        <w:t xml:space="preserve">Phase 3: Technical Extension</w:t>
      </w:r>
    </w:p>
    <w:p>
      <w:pPr>
        <w:pBdr>
          <w:top w:val="single" w:color="2E75B6" w:sz="6" w:space="8"/>
          <w:bottom w:val="single" w:color="2E75B6" w:sz="6" w:space="8"/>
        </w:pBdr>
        <w:spacing w:after="300" w:before="300"/>
        <w:jc w:val="center"/>
      </w:pPr>
      <w:r>
        <w:rPr>
          <w:rFonts w:ascii="Arial" w:cs="Arial" w:eastAsia="Arial" w:hAnsi="Arial"/>
          <w:color w:val="1B2A4A"/>
          <w:sz w:val="21"/>
          <w:szCs w:val="21"/>
        </w:rPr>
        <w:t xml:space="preserve">D-TCG+ Engine • Behavioral Baselines • OWASP Playbooks • OPA/Rego v2 • Unified Spec</w:t>
      </w:r>
    </w:p>
    <w:p>
      <w:pPr>
        <w:spacing w:after="60" w:before="500"/>
        <w:jc w:val="center"/>
      </w:pPr>
      <w:r>
        <w:rPr>
          <w:rFonts w:ascii="Arial" w:cs="Arial" w:eastAsia="Arial" w:hAnsi="Arial"/>
          <w:color w:val="666666"/>
          <w:sz w:val="18"/>
          <w:szCs w:val="18"/>
        </w:rPr>
        <w:t xml:space="preserve">Document Reference: TR-2026-033</w:t>
      </w:r>
    </w:p>
    <w:p>
      <w:pPr>
        <w:spacing w:after="60"/>
        <w:jc w:val="center"/>
      </w:pPr>
      <w:r>
        <w:rPr>
          <w:rFonts w:ascii="Arial" w:cs="Arial" w:eastAsia="Arial" w:hAnsi="Arial"/>
          <w:color w:val="666666"/>
          <w:sz w:val="16"/>
          <w:szCs w:val="16"/>
        </w:rPr>
        <w:t xml:space="preserve">Dependencies: TR-2026-031 (Phase 1) | TR-2026-032 (Phase 2)</w:t>
      </w:r>
    </w:p>
    <w:p>
      <w:pPr>
        <w:jc w:val="center"/>
      </w:pPr>
      <w:r>
        <w:rPr>
          <w:rFonts w:ascii="Arial" w:cs="Arial" w:eastAsia="Arial" w:hAnsi="Arial"/>
          <w:color w:val="666666"/>
          <w:sz w:val="18"/>
          <w:szCs w:val="18"/>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D-TCG+ Cross-Domain Correlation Engine (Task 3.1)</w:t>
      </w:r>
    </w:p>
    <w:p>
      <w:pPr>
        <w:pStyle w:val="Heading2"/>
      </w:pPr>
      <w:r>
        <w:t xml:space="preserve">1.1 Architecture Overview</w:t>
      </w:r>
    </w:p>
    <w:p>
      <w:pPr>
        <w:spacing w:after="110" w:line="270"/>
      </w:pPr>
      <w:r>
        <w:rPr>
          <w:rFonts w:ascii="Arial" w:cs="Arial" w:eastAsia="Arial" w:hAnsi="Arial"/>
          <w:sz w:val="20"/>
          <w:szCs w:val="20"/>
        </w:rPr>
        <w:t xml:space="preserve">D-TCG+ extends the existing Defensive Tool Call Graph from single-layer trajectory monitoring to multi-layer anomaly correlation. The engine ingests telemetry from four distinct observability layers and correlates anomalies across configurable temporal windows to detect coordinated attacks that are invisible in any single layer.</w:t>
      </w:r>
    </w:p>
    <w:p>
      <w:pPr>
        <w:pStyle w:val="Heading2"/>
      </w:pPr>
      <w:r>
        <w:t xml:space="preserve">1.2 Four-Layer Telemetry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Telemetry Source</w:t>
            </w:r>
          </w:p>
        </w:tc>
        <w:tc>
          <w:tcPr>
            <w:tcW w:type="dxa" w:w="2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Signals Collected</w:t>
            </w:r>
          </w:p>
        </w:tc>
        <w:tc>
          <w:tcPr>
            <w:tcW w:type="dxa" w:w="27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Control Reference</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L1: Network</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Network traffic logs, API gateway telemetry, egress monitors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Outbound request volume, destination IP/domain patterns, payload size anomalies, connection frequency</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External integration; feeds DTG-C03</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L2: Prompt</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LLM input/output traces, ATK inspection records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Prompt injection indicators, jailbreak patterns, goal drift markers, output safety flags</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ATK-C03, ATK-C04; feeds DTG-C03</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L3: Tool Call</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D-TCG trajectory logs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Tool invocation sequences, parameter anomalies, unauthorized tool access attempts, execution time deviations</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DTG-C01, DTG-C02; feeds DTG-C03</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L4: Data Access</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Data store audit logs, AIM credential usage records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Unusual data volume requests, cross-boundary access attempts, PII exposure patterns, credential usage anomalies</w:t>
            </w:r>
          </w:p>
        </w:tc>
        <w:tc>
          <w:tcPr>
            <w:tcW w:type="dxa" w:w="2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AIM-C01; feeds DTG-C03</w:t>
            </w:r>
          </w:p>
        </w:tc>
      </w:tr>
    </w:tbl>
    <w:p>
      <w:pPr>
        <w:spacing w:after="140"/>
      </w:pPr>
    </w:p>
    <w:p>
      <w:pPr>
        <w:pStyle w:val="Heading2"/>
      </w:pPr>
      <w:r>
        <w:t xml:space="preserve">1.3 Correlation Engine Architecture</w:t>
      </w:r>
    </w:p>
    <w:p>
      <w:pPr>
        <w:spacing w:after="110" w:line="270"/>
      </w:pPr>
      <w:r>
        <w:rPr>
          <w:rFonts w:ascii="Arial" w:cs="Arial" w:eastAsia="Arial" w:hAnsi="Arial"/>
          <w:sz w:val="20"/>
          <w:szCs w:val="20"/>
        </w:rPr>
        <w:t xml:space="preserve">The engine operates in three stages:</w:t>
      </w:r>
    </w:p>
    <w:p>
      <w:pPr>
        <w:pStyle w:val="Heading3"/>
      </w:pPr>
      <w:r>
        <w:t xml:space="preserve">Stage 1: Ingestion and Normalization</w:t>
      </w:r>
    </w:p>
    <w:p>
      <w:pPr>
        <w:spacing w:after="110" w:line="270"/>
      </w:pPr>
      <w:r>
        <w:rPr>
          <w:rFonts w:ascii="Arial" w:cs="Arial" w:eastAsia="Arial" w:hAnsi="Arial"/>
          <w:sz w:val="20"/>
          <w:szCs w:val="20"/>
        </w:rPr>
        <w:t xml:space="preserve">Each telemetry layer produces events in its native format. The ingestion pipeline normalizes all events into a Common Event Format (CEF-ARHIA) with fields: timestamp (ISO 8601), layer (L1-L4), agentId (AIM reference), eventType (enumerated), severity (1-5), payload (layer-specific structured data), and hmacLink (chain to previous event in the per-agent stream).</w:t>
      </w:r>
    </w:p>
    <w:p>
      <w:pPr>
        <w:pStyle w:val="Heading3"/>
      </w:pPr>
      <w:r>
        <w:t xml:space="preserve">Stage 2: Windowed Correlation</w:t>
      </w:r>
    </w:p>
    <w:p>
      <w:pPr>
        <w:spacing w:after="110" w:line="270"/>
      </w:pPr>
      <w:r>
        <w:rPr>
          <w:rFonts w:ascii="Arial" w:cs="Arial" w:eastAsia="Arial" w:hAnsi="Arial"/>
          <w:sz w:val="20"/>
          <w:szCs w:val="20"/>
        </w:rPr>
        <w:t xml:space="preserve">The correlation engine evaluates events within configurable temporal windows (default: 60 seconds for real-time, 15 minutes for near-real-time, 24 hours for batch). For each window, it computes a Cross-Layer Anomaly Score (CLAS) using the formula:</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CLAS = Σ(w_i × anomaly_score_i) for i in {L1, L2, L3, L4}</w:t>
      </w:r>
    </w:p>
    <w:p>
      <w:pPr>
        <w:spacing w:after="110" w:line="270"/>
      </w:pPr>
      <w:r>
        <w:rPr>
          <w:rFonts w:ascii="Arial" w:cs="Arial" w:eastAsia="Arial" w:hAnsi="Arial"/>
          <w:sz w:val="20"/>
          <w:szCs w:val="20"/>
        </w:rPr>
        <w:t xml:space="preserve">Where w_i are layer weights configurable per deployment (default: L1=0.15, L2=0.30, L3=0.35, L4=0.20). The weights reflect that prompt-layer and tool-call-layer anomalies carry higher signal-to-noise ratio for agentic attacks than network-layer anomalies alone.</w:t>
      </w:r>
    </w:p>
    <w:p>
      <w:pPr>
        <w:pStyle w:val="Heading3"/>
      </w:pPr>
      <w:r>
        <w:t xml:space="preserve">Stage 3: Pattern Matching and Playbook Dispatch</w:t>
      </w:r>
    </w:p>
    <w:p>
      <w:pPr>
        <w:spacing w:after="110" w:line="270"/>
      </w:pPr>
      <w:r>
        <w:rPr>
          <w:rFonts w:ascii="Arial" w:cs="Arial" w:eastAsia="Arial" w:hAnsi="Arial"/>
          <w:sz w:val="20"/>
          <w:szCs w:val="20"/>
        </w:rPr>
        <w:t xml:space="preserve">When CLAS exceeds the alert threshold (configurable; default: 0.7 on a 0-1 scale), the engine matches the correlated anomaly signature against the OWASP ASI Playbook Library (Section 2). If a match is found, DTG-C04 is triggered to activate the corresponding playbook. If no match is found, a novel anomaly alert is dispatched to HIC-C03 (Escalation Gate) for human investigation.</w:t>
      </w:r>
    </w:p>
    <w:p>
      <w:pPr>
        <w:pStyle w:val="Heading2"/>
      </w:pPr>
      <w:r>
        <w:t xml:space="preserve">1.4 Correlation Rules Catalog</w:t>
      </w:r>
    </w:p>
    <w:p>
      <w:pPr>
        <w:spacing w:after="110" w:line="270"/>
      </w:pPr>
      <w:r>
        <w:rPr>
          <w:rFonts w:ascii="Arial" w:cs="Arial" w:eastAsia="Arial" w:hAnsi="Arial"/>
          <w:sz w:val="20"/>
          <w:szCs w:val="20"/>
        </w:rPr>
        <w:t xml:space="preserve">The following rules define the cross-domain patterns that indicate specific OWASP ASI attack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680"/>
        <w:gridCol w:w="2680"/>
      </w:tblGrid>
      <w:tr>
        <w:tc>
          <w:tcPr>
            <w:tcW w:type="dxa" w:w="1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Rule ID</w:t>
            </w:r>
          </w:p>
        </w:tc>
        <w:tc>
          <w:tcPr>
            <w:tcW w:type="dxa" w:w="2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OWASP ASI</w:t>
            </w:r>
          </w:p>
        </w:tc>
        <w:tc>
          <w:tcPr>
            <w:tcW w:type="dxa" w:w="36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Cross-Layer Pattern</w:t>
            </w:r>
          </w:p>
        </w:tc>
        <w:tc>
          <w:tcPr>
            <w:tcW w:type="dxa" w:w="26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CLAS Threshold</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CR-01</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ASI-01 Goal Hijack</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L2 prompt anomaly (goal drift) + L3 unexpected tool sequence + L4 cross-boundary data access</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0.75</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CR-02</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ASI-02 Tool Misuse</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L3 unauthorized tool invocation + L1 unusual egress + L4 elevated data volume</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0.70</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CR-03</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ASI-03 Excessive Perms</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L3 tool access beyond permission set + L4 credential scope violation (AIM)</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0.65</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CR-04</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ASI-04 Uncontrolled Code</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L3 code execution tool invoked + L1 new egress destination + L2 output safety flag</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0.80</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CR-05</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ASI-05 Supply Chain</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L3 tool invocation from unregistered component (ABO) + L4 integrity check failure</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0.70</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CR-06</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ASI-06 RAG Poisoning</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L2 retrieval anomaly (new source) + L3 tool output inconsistency + L4 data source trust violation</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0.75</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CR-07</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ASI-07 Memory Poison</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L2 context window anomaly + L3 memory write tool + L4 persistent state modification</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0.80</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CR-08</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ASI-08 Cascading Fail</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Multiple agents: L3 error propagation + L1 request spike + L2 multi-agent output degradation</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0.60 (lower for cascade)</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CR-09</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ASI-09 Overreliance</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L2 human override frequency drop + L3 high-impact action rate increase (no HIC triggers)</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0.65</w:t>
            </w:r>
          </w:p>
        </w:tc>
      </w:tr>
      <w:t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CR-10</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ASI-10 Multi-Agent Manip</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L3 inter-agent comm anomaly + L1 coordinated egress + L2 synchronized goal drift across agents</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0.70</w:t>
            </w:r>
          </w:p>
        </w:tc>
      </w:tr>
    </w:tbl>
    <w:p>
      <w:r>
        <w:br w:type="page"/>
      </w:r>
    </w:p>
    <w:p>
      <w:pPr>
        <w:pStyle w:val="Heading1"/>
      </w:pPr>
      <w:r>
        <w:t xml:space="preserve">2. Behavioral Baseline Registry (Task 3.2)</w:t>
      </w:r>
    </w:p>
    <w:p>
      <w:pPr>
        <w:pStyle w:val="Heading2"/>
      </w:pPr>
      <w:r>
        <w:t xml:space="preserve">2.1 Purpose</w:t>
      </w:r>
    </w:p>
    <w:p>
      <w:pPr>
        <w:spacing w:after="110" w:line="270"/>
      </w:pPr>
      <w:r>
        <w:rPr>
          <w:rFonts w:ascii="Arial" w:cs="Arial" w:eastAsia="Arial" w:hAnsi="Arial"/>
          <w:sz w:val="20"/>
          <w:szCs w:val="20"/>
        </w:rPr>
        <w:t xml:space="preserve">The Behavioral Baseline Registry (BBR) stores per-agent behavioral profiles that serve as the ground truth for DTG-C02 deviation detection and DTG-C03 cross-domain correlation. Each agent has a baseline computed from its observed behavior during a qualification window.</w:t>
      </w:r>
    </w:p>
    <w:p>
      <w:pPr>
        <w:pStyle w:val="Heading2"/>
      </w:pPr>
      <w:r>
        <w:t xml:space="preserve">2.2 Baseline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Description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agentId</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UUID</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AIM credential reference; primary key</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baselineVersion</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Semver</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Baseline version; incremented on each recalculation (DTG-C05)</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qualificationWindow</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Object</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Start/end timestamps and event count of the observation period used to compute this baseline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toolCallProfile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Object</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Per-tool invocation frequency histogram, mean execution time, parameter distribution stats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dataAccessProfile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Object</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Data source access frequency, volume distribution (mean, p95, p99), boundary scope compliance rate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promptProfile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Object</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Input length distribution, output safety flag rate, goal consistency score over window</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networkProfile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Object</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Egress destination set, request frequency, payload size distribution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deviationThresholds</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Object</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Per-metric thresholds: number of standard deviations from baseline that triggers anomaly flag (default: 2.5 sigma)</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autonomyLevel</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A0-A4</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ARHIA autonomy level at time of baseline computation; thresholds adjust by level</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hmacHash</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HMAC-SHA256</w:t>
            </w:r>
          </w:p>
        </w:tc>
        <w:tc>
          <w:tcPr>
            <w:tcW w:type="dxa" w:w="5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Tamper-evidence hash over entire baseline record</w:t>
            </w:r>
          </w:p>
        </w:tc>
      </w:tr>
    </w:tbl>
    <w:p>
      <w:pPr>
        <w:spacing w:after="140"/>
      </w:pPr>
    </w:p>
    <w:p>
      <w:pPr>
        <w:pStyle w:val="Heading2"/>
      </w:pPr>
      <w:r>
        <w:t xml:space="preserve">2.3 Baseline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Event</w:t>
            </w:r>
          </w:p>
        </w:tc>
        <w:tc>
          <w:tcPr>
            <w:tcW w:type="dxa" w:w="37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Trigger</w:t>
            </w:r>
          </w:p>
        </w:tc>
        <w:tc>
          <w:tcPr>
            <w:tcW w:type="dxa" w:w="37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Initial Baseline</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Agent completes qualification window at A1 (default: 7 days of supervised operation)</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Compute baseline v1.0.0 from observed telemetry; store in BBR; activate DTG-C02 anomaly detection</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Scheduled Update</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Quarterly recalculation (DTG-C05 control frequency)</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Recompute baseline from most recent qualification window; increment minor version; compare delta with previous baseline</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Change-Triggered</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Model update, tool addition/removal, integration change, or autonomy level promotion</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Invalidate current baseline; enter new qualification window at reduced autonomy level; recompute once window completes</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Drift Alert</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Agent behavior deviates beyond threshold for sustained period (default: 3 consecutive anomaly windows)</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Trigger HIC-C04 drift intervention; optionally freeze agent at current level pending investigation</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Post-Incident</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Security incident resolution or demotion event</w:t>
            </w:r>
          </w:p>
        </w:tc>
        <w:tc>
          <w:tcPr>
            <w:tcW w:type="dxa" w:w="3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Full baseline invalidation; agent returns to qualification window at reduced level; new baseline required before any promotion</w:t>
            </w:r>
          </w:p>
        </w:tc>
      </w:tr>
    </w:tbl>
    <w:p>
      <w:pPr>
        <w:spacing w:after="140"/>
      </w:pPr>
    </w:p>
    <w:p>
      <w:pPr>
        <w:pStyle w:val="Heading2"/>
      </w:pPr>
      <w:r>
        <w:t xml:space="preserve">2.4 Deviation Scoring</w:t>
      </w:r>
    </w:p>
    <w:p>
      <w:pPr>
        <w:spacing w:after="110" w:line="270"/>
      </w:pPr>
      <w:r>
        <w:rPr>
          <w:rFonts w:ascii="Arial" w:cs="Arial" w:eastAsia="Arial" w:hAnsi="Arial"/>
          <w:sz w:val="20"/>
          <w:szCs w:val="20"/>
        </w:rPr>
        <w:t xml:space="preserve">For each telemetry event, DTG-C02 computes a per-layer deviation score:</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deviation_score(metric) = |observed_value - baseline_mean| / baseline_stddev</w:t>
      </w:r>
    </w:p>
    <w:p>
      <w:pPr>
        <w:spacing w:after="110" w:line="270"/>
      </w:pPr>
      <w:r>
        <w:rPr>
          <w:rFonts w:ascii="Arial" w:cs="Arial" w:eastAsia="Arial" w:hAnsi="Arial"/>
          <w:sz w:val="20"/>
          <w:szCs w:val="20"/>
        </w:rPr>
        <w:t xml:space="preserve">An anomaly flag is raised when deviation_score exceeds the agent-level threshold (stored in deviationThresholds). Default thresholds by autonomy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A0 Inert</w:t>
            </w:r>
          </w:p>
        </w:tc>
        <w:tc>
          <w:tcPr>
            <w:tcW w:type="dxa" w:w="1872"/>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A1 Supervised</w:t>
            </w:r>
          </w:p>
        </w:tc>
        <w:tc>
          <w:tcPr>
            <w:tcW w:type="dxa" w:w="1872"/>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A2 Guided</w:t>
            </w:r>
          </w:p>
        </w:tc>
        <w:tc>
          <w:tcPr>
            <w:tcW w:type="dxa" w:w="1872"/>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A3 Autonomous</w:t>
            </w:r>
          </w:p>
        </w:tc>
        <w:tc>
          <w:tcPr>
            <w:tcW w:type="dxa" w:w="1872"/>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A4 Adaptive</w:t>
            </w:r>
          </w:p>
        </w:tc>
      </w:tr>
      <w:tr>
        <w:tc>
          <w:tcPr>
            <w:tcW w:type="dxa" w:w="1872"/>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N/A (no activity)</w:t>
            </w:r>
          </w:p>
        </w:tc>
        <w:tc>
          <w:tcPr>
            <w:tcW w:type="dxa" w:w="1872"/>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2.0σ (strictest)</w:t>
            </w:r>
          </w:p>
        </w:tc>
        <w:tc>
          <w:tcPr>
            <w:tcW w:type="dxa" w:w="1872"/>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2.5σ</w:t>
            </w:r>
          </w:p>
        </w:tc>
        <w:tc>
          <w:tcPr>
            <w:tcW w:type="dxa" w:w="1872"/>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3.0σ</w:t>
            </w:r>
          </w:p>
        </w:tc>
        <w:tc>
          <w:tcPr>
            <w:tcW w:type="dxa" w:w="1872"/>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3.5σ (most permissive)</w:t>
            </w:r>
          </w:p>
        </w:tc>
      </w:tr>
    </w:tbl>
    <w:p>
      <w:pPr>
        <w:spacing w:after="80"/>
      </w:pPr>
    </w:p>
    <w:p>
      <w:pPr>
        <w:spacing w:after="110" w:line="270"/>
      </w:pPr>
      <w:r>
        <w:rPr>
          <w:rFonts w:ascii="Arial" w:cs="Arial" w:eastAsia="Arial" w:hAnsi="Arial"/>
          <w:sz w:val="20"/>
          <w:szCs w:val="20"/>
        </w:rPr>
        <w:t xml:space="preserve">Lower autonomy levels have stricter thresholds because agents at A1 are expected to have narrow behavioral envelopes. Higher-level agents have wider permissible deviation because their action space is broader by design.</w:t>
      </w:r>
    </w:p>
    <w:p>
      <w:r>
        <w:br w:type="page"/>
      </w:r>
    </w:p>
    <w:p>
      <w:pPr>
        <w:pStyle w:val="Heading1"/>
      </w:pPr>
      <w:r>
        <w:t xml:space="preserve">3. OWASP ASI Incident Playbook Library (Task 3.3)</w:t>
      </w:r>
    </w:p>
    <w:p>
      <w:pPr>
        <w:pStyle w:val="Heading2"/>
      </w:pPr>
      <w:r>
        <w:t xml:space="preserve">3.1 Playbook Structure</w:t>
      </w:r>
    </w:p>
    <w:p>
      <w:pPr>
        <w:spacing w:after="110" w:line="270"/>
      </w:pPr>
      <w:r>
        <w:rPr>
          <w:rFonts w:ascii="Arial" w:cs="Arial" w:eastAsia="Arial" w:hAnsi="Arial"/>
          <w:sz w:val="20"/>
          <w:szCs w:val="20"/>
        </w:rPr>
        <w:t xml:space="preserve">Each playbook follows a standard 6-phase structure: Detection (correlation rule that triggers the playbook), Containment (immediate automated actions to limit blast radius), Investigation (data collection for human review), Remediation (corrective actions), Recovery (return to normal operation), and Lessons Learned (post-incident evidence for HIC-C05 governance review).</w:t>
      </w:r>
    </w:p>
    <w:p>
      <w:pPr>
        <w:pStyle w:val="Heading2"/>
      </w:pPr>
      <w:r>
        <w:t xml:space="preserve">3.2 Complete Playbook Catalog</w:t>
      </w:r>
    </w:p>
    <w:p>
      <w:pPr>
        <w:pStyle w:val="Heading3"/>
      </w:pPr>
      <w:r>
        <w:t xml:space="preserve">PB-01: Agent Goal Hijacking (ASI-01)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Phase</w:t>
            </w:r>
          </w:p>
        </w:tc>
        <w:tc>
          <w:tcPr>
            <w:tcW w:type="dxa" w:w="73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C62828"/>
                <w:sz w:val="16"/>
                <w:szCs w:val="16"/>
              </w:rPr>
              <w:t xml:space="preserve">Detection</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CR-01 triggered: L2 goal drift + L3 unexpected tool sequence + L4 cross-boundary access. CLAS ≥ 0.75.</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E65100"/>
                <w:sz w:val="16"/>
                <w:szCs w:val="16"/>
              </w:rPr>
              <w:t xml:space="preserve">Containment</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Immediately: demote agent to A1 (supervised). Suspend autonomous tool execution. Activate HIC-C02 for all pending actions. Snapshot current context and memory state.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F57F17"/>
                <w:sz w:val="16"/>
                <w:szCs w:val="16"/>
              </w:rPr>
              <w:t xml:space="preserve">Investigation</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Collect: full D-TCG+ trajectory for 30 min before trigger. L2 prompt history. L4 data access log. AIM credential usage. Identify injection vector (direct prompt, indirect via RAG, tool output).</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5B6"/>
                <w:sz w:val="16"/>
                <w:szCs w:val="16"/>
              </w:rPr>
              <w:t xml:space="preserve">Remediation</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Purge compromised context/memory. Update input validation rules (ATK-C03). Add injection pattern to DTG-C03 signature library. Rotate AIM credentials (AIM-C02).</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Recovery</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Re-qualify agent through new baseline window (BBR invalidation). Require G1-G5 promotion gates before returning to previous autonomy level. Verify with OPA-C03 regression test.</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666666"/>
                <w:sz w:val="16"/>
                <w:szCs w:val="16"/>
              </w:rPr>
              <w:t xml:space="preserve">Lessons Learned</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Generate EGA evidence package. Submit to HIC-C05 governance review. Update correlation rule CR-01 weights if false positive. Document in AIBOM incident history.</w:t>
            </w:r>
          </w:p>
        </w:tc>
      </w:tr>
    </w:tbl>
    <w:p>
      <w:pPr>
        <w:spacing w:after="120"/>
      </w:pPr>
    </w:p>
    <w:p>
      <w:pPr>
        <w:pStyle w:val="Heading3"/>
      </w:pPr>
      <w:r>
        <w:t xml:space="preserve">PB-02: Tool Misuse and Exploitation (ASI-02)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Phase</w:t>
            </w:r>
          </w:p>
        </w:tc>
        <w:tc>
          <w:tcPr>
            <w:tcW w:type="dxa" w:w="73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C62828"/>
                <w:sz w:val="16"/>
                <w:szCs w:val="16"/>
              </w:rPr>
              <w:t xml:space="preserve">Detection</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CR-02 triggered: L3 unauthorized tool invocation + L1 unusual egress + L4 elevated data volume. CLAS ≥ 0.70.</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E65100"/>
                <w:sz w:val="16"/>
                <w:szCs w:val="16"/>
              </w:rPr>
              <w:t xml:space="preserve">Containment</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Revoke tool permissions for flagged tools. Restrict to read-only tools (A1 equivalent). Block identified egress destination at network layer. Activate kill switch if data exfiltration confirmed.</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F57F17"/>
                <w:sz w:val="16"/>
                <w:szCs w:val="16"/>
              </w:rPr>
              <w:t xml:space="preserve">Investigation</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Analyze tool call parameters for injection payload. Trace egress to identify data recipient. Assess data exposure scope (PII, trade secrets). Verify AIM permission set was correctly enforced.</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5B6"/>
                <w:sz w:val="16"/>
                <w:szCs w:val="16"/>
              </w:rPr>
              <w:t xml:space="preserve">Remediation</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Tighten OPA policy for affected tools (least-privilege). Add parameter validation rules. Update ABO component inventory if tool was compromised. Rotate AIM credentials.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Recovery</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Gradual tool re-enablement through A1→A2 promotion gates. Verify each tool individually. Recalculate BBR baseline.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666666"/>
                <w:sz w:val="16"/>
                <w:szCs w:val="16"/>
              </w:rPr>
              <w:t xml:space="preserve">Lessons Learned</w:t>
            </w:r>
          </w:p>
        </w:tc>
        <w:tc>
          <w:tcPr>
            <w:tcW w:type="dxa" w:w="7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EGA evidence package. Assess if permission set design was adequate. Recommend OPA policy adjustments to GOV role.</w:t>
            </w:r>
          </w:p>
        </w:tc>
      </w:tr>
    </w:tbl>
    <w:p>
      <w:pPr>
        <w:spacing w:after="120"/>
      </w:pPr>
    </w:p>
    <w:p>
      <w:pPr>
        <w:pStyle w:val="Heading3"/>
      </w:pPr>
      <w:r>
        <w:t xml:space="preserve">PB-03 through PB-10: Compact Specification</w:t>
      </w:r>
    </w:p>
    <w:p>
      <w:pPr>
        <w:spacing w:after="110" w:line="270"/>
      </w:pPr>
      <w:r>
        <w:rPr>
          <w:rFonts w:ascii="Arial" w:cs="Arial" w:eastAsia="Arial" w:hAnsi="Arial"/>
          <w:sz w:val="20"/>
          <w:szCs w:val="20"/>
        </w:rPr>
        <w:t xml:space="preserve">The remaining 8 playbooks follow the same 6-phase structure. The table below specifies the key differentiators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2430"/>
        <w:gridCol w:w="2430"/>
      </w:tblGrid>
      <w:tr>
        <w:tc>
          <w:tcPr>
            <w:tcW w:type="dxa" w:w="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PB</w:t>
            </w:r>
          </w:p>
        </w:tc>
        <w:tc>
          <w:tcPr>
            <w:tcW w:type="dxa" w:w="15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ASI Risk</w:t>
            </w:r>
          </w:p>
        </w:tc>
        <w:tc>
          <w:tcPr>
            <w:tcW w:type="dxa" w:w="2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Primary Containment</w:t>
            </w:r>
          </w:p>
        </w:tc>
        <w:tc>
          <w:tcPr>
            <w:tcW w:type="dxa" w:w="243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Key Investigation Focus</w:t>
            </w:r>
          </w:p>
        </w:tc>
        <w:tc>
          <w:tcPr>
            <w:tcW w:type="dxa" w:w="243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Critical Remediation</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PB-03</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ASI-03 Excessive Perms</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Reduce AIM permission set to minimum viable; activate HIC-C02 for all actions</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Permission set audit; identify over-provisioned scopes</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Implement just-in-time permission elevation in OPA policy</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PB-04</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ASI-04 Uncontrolled Code</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Kill code execution sandbox; block runtime code generation</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Analyze generated code for malicious patterns; check egress</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Whitelist approved code patterns; add static analysis gate</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PB-05</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ASI-05 Supply Chain</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Quarantine unverified components; freeze ABO inventory</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Trace component provenance; verify signatures against registry</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Revoke compromised components; update ABO-C02 validation rules</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PB-06</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ASI-06 RAG Poisoning</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Disable RAG retrieval from flagged sources; switch to cached-only mode</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Identify poisoned documents; trace ingestion timeline</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Purge poisoned vectors; add source trust scoring to retrieval</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PB-07</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ASI-07 Memory Poisoning</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Freeze agent memory; disable memory write tools; snapshot state</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Diff memory state against baseline; identify injection point</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Purge corrupted memory; implement memory integrity checks</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PB-08</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ASI-08 Cascading Failure</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Circuit-break affected agent chain; isolate triggering agent; activate fallback agents</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Map failure propagation path across multi-agent system</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Add circuit breakers at agent boundaries; implement blast radius limits</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PB-09</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ASI-09 Overreliance</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Force HIC-C02 activation for all decisions; reduce autonomy to A1</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Analyze human override rate trend; assess automation bias risk</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Implement mandatory human review intervals; add confidence calibration</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PB-10</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ASI-10 Multi-Agent Manip</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Isolate all agents in affected fleet; disable inter-agent communication</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Analyze synchronized behavior patterns; identify manipulation source</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Implement agent-to-agent authentication (AIM-based); add communication policies in OPA</w:t>
            </w:r>
          </w:p>
        </w:tc>
      </w:tr>
    </w:tbl>
    <w:p>
      <w:r>
        <w:br w:type="page"/>
      </w:r>
    </w:p>
    <w:p>
      <w:pPr>
        <w:pStyle w:val="Heading1"/>
      </w:pPr>
      <w:r>
        <w:t xml:space="preserve">4. New OPA/Rego Policy Bundles (Task 3.4)</w:t>
      </w:r>
    </w:p>
    <w:p>
      <w:pPr>
        <w:pStyle w:val="Heading2"/>
      </w:pPr>
      <w:r>
        <w:t xml:space="preserve">4.1 Bundle Inventory</w:t>
      </w:r>
    </w:p>
    <w:p>
      <w:pPr>
        <w:spacing w:after="110" w:line="270"/>
      </w:pPr>
      <w:r>
        <w:rPr>
          <w:rFonts w:ascii="Arial" w:cs="Arial" w:eastAsia="Arial" w:hAnsi="Arial"/>
          <w:sz w:val="20"/>
          <w:szCs w:val="20"/>
        </w:rPr>
        <w:t xml:space="preserve">ARHIA v11.3 contained 13 OPA/Rego bundles totaling approximately 1,277 lines. Phase 3 adds 6 new bundles and extends 3 existing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2480"/>
        <w:gridCol w:w="2480"/>
      </w:tblGrid>
      <w:tr>
        <w:tc>
          <w:tcPr>
            <w:tcW w:type="dxa" w:w="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Bundle Name</w:t>
            </w:r>
          </w:p>
        </w:tc>
        <w:tc>
          <w:tcPr>
            <w:tcW w:type="dxa" w:w="1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Status</w:t>
            </w:r>
          </w:p>
        </w:tc>
        <w:tc>
          <w:tcPr>
            <w:tcW w:type="dxa" w:w="24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Controls Enforced</w:t>
            </w:r>
          </w:p>
        </w:tc>
        <w:tc>
          <w:tcPr>
            <w:tcW w:type="dxa" w:w="24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Est. Lines</w:t>
            </w:r>
          </w:p>
        </w:tc>
      </w:tr>
      <w:tr>
        <w:tc>
          <w:tcPr>
            <w:tcW w:type="dxa" w:w="9360"/>
            <w:gridSpan w:val="5"/>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17"/>
                <w:szCs w:val="17"/>
              </w:rPr>
              <w:t xml:space="preserve">New Bundles (6)</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B14</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aim_identity.rego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AIM-C01: Credential validation, format check, expiry enforcement</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~120 lines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B15</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aim_lifecycle.rego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AIM-C02, AIM-C03: Rotation enforcement, composite identity chain validation</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~95 lines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B16</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aim_permissions.rego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ATK-C02 via AIM: Scope check against AIM permissionSet; deny actions outside scope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~110 lines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B17</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dtg_correlation.rego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DTG-C03, DTG-C04: CLAS threshold enforcement; playbook dispatch rules</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~140 lines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B18</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ega_evidence.rego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EGA-C01, EGA-C02: Evidence format validation; collection completeness check</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~85 lines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B19</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ega_retention.rego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EGA-C04: Retention tier enforcement; jurisdiction-aware retention rules</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~70 lines</w:t>
            </w:r>
          </w:p>
        </w:tc>
      </w:tr>
      <w:tr>
        <w:tc>
          <w:tcPr>
            <w:tcW w:type="dxa" w:w="9360"/>
            <w:gridSpan w:val="5"/>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tcPr>
          <w:p>
            <w:r>
              <w:rPr>
                <w:rFonts w:ascii="Arial" w:cs="Arial" w:eastAsia="Arial" w:hAnsi="Arial"/>
                <w:b/>
                <w:bCs/>
                <w:color w:val="FFFFFF"/>
                <w:sz w:val="17"/>
                <w:szCs w:val="17"/>
              </w:rPr>
              <w:t xml:space="preserve">Extended Bundles (3)</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B03*</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atk_envelope.rego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E65100"/>
                <w:sz w:val="16"/>
                <w:szCs w:val="16"/>
              </w:rPr>
              <w:t xml:space="preserve">EXTENDED</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ATK-C06: Add AIM identity check as pre-condition; add EGA evidence hooks</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+45 lines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B07*</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autonomy_gates.rego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E65100"/>
                <w:sz w:val="16"/>
                <w:szCs w:val="16"/>
              </w:rPr>
              <w:t xml:space="preserve">EXTENDED</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AUT-C02 to C05: Add 5-gate promotion protocol from CSA ATF harmonization</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+60 lines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B11*</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aibom_lifecycle.rego</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E65100"/>
                <w:sz w:val="16"/>
                <w:szCs w:val="16"/>
              </w:rPr>
              <w:t xml:space="preserve">EXTENDED</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ABO-C01, C03: Add AIM credential fields; retirement evidence generation</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+35 lines</w:t>
            </w:r>
          </w:p>
        </w:tc>
      </w:tr>
    </w:tbl>
    <w:p>
      <w:pPr>
        <w:spacing w:after="140"/>
      </w:pPr>
    </w:p>
    <w:p>
      <w:pPr>
        <w:pStyle w:val="Heading2"/>
      </w:pPr>
      <w:r>
        <w:t xml:space="preserve">4.2 Updated Line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Category</w:t>
            </w:r>
          </w:p>
        </w:tc>
        <w:tc>
          <w:tcPr>
            <w:tcW w:type="dxa" w:w="46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Lines</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v11.3 existing bundles (B01-B13)</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~1,277 lines</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New bundles (B14-B19)</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~620 lines</w:t>
            </w:r>
          </w:p>
        </w:tc>
      </w:tr>
      <w:tr>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Extensions to B03, B07, B11</w:t>
            </w:r>
          </w:p>
        </w:tc>
        <w:tc>
          <w:tcPr>
            <w:tcW w:type="dxa" w:w="4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~140 lines</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B2A4A"/>
                <w:sz w:val="18"/>
                <w:szCs w:val="18"/>
              </w:rPr>
              <w:t xml:space="preserve">TOTAL v11.4</w:t>
            </w:r>
          </w:p>
        </w:tc>
        <w:tc>
          <w:tcPr>
            <w:tcW w:type="dxa" w:w="46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2E7D32"/>
                <w:sz w:val="18"/>
                <w:szCs w:val="18"/>
              </w:rPr>
              <w:t xml:space="preserve">~2,037 lines (target: ≥ 1,800) ✔</w:t>
            </w:r>
          </w:p>
        </w:tc>
      </w:tr>
    </w:tbl>
    <w:p>
      <w:pPr>
        <w:spacing w:after="140"/>
      </w:pPr>
    </w:p>
    <w:p>
      <w:pPr>
        <w:pStyle w:val="Heading2"/>
      </w:pPr>
      <w:r>
        <w:t xml:space="preserve">4.3 Policy Architecture Diagram (Textual)</w:t>
      </w:r>
    </w:p>
    <w:p>
      <w:pPr>
        <w:spacing w:after="110" w:line="270"/>
      </w:pPr>
      <w:r>
        <w:rPr>
          <w:rFonts w:ascii="Arial" w:cs="Arial" w:eastAsia="Arial" w:hAnsi="Arial"/>
          <w:sz w:val="20"/>
          <w:szCs w:val="20"/>
        </w:rPr>
        <w:t xml:space="preserve">The policy evaluation chain follows this sequence:</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Request → AIM Identity Check (B14) → AIM Permission Scope (B16) → ATK Envelope (B03*) → Autonomy Gate (B07*) → Domain Policy (B01-B02, B04-B06, B08-B10, B12-B13) → D-TCG+ Correlation (B17) → EGA Evidence (B18) → EGA Retention (B19)</w:t>
      </w:r>
    </w:p>
    <w:p>
      <w:pPr>
        <w:spacing w:after="110" w:line="270"/>
      </w:pPr>
      <w:r>
        <w:rPr>
          <w:rFonts w:ascii="Arial" w:cs="Arial" w:eastAsia="Arial" w:hAnsi="Arial"/>
          <w:sz w:val="20"/>
          <w:szCs w:val="20"/>
        </w:rPr>
        <w:t xml:space="preserve">Each stage produces a decision (allow/deny/escalate) and an evidence artifact. The chain is fail-closed: if any stage returns deny, the entire request is rejected and an evidence record is generated.</w:t>
      </w:r>
    </w:p>
    <w:p>
      <w:pPr>
        <w:pStyle w:val="Heading2"/>
      </w:pPr>
      <w:r>
        <w:t xml:space="preserve">4.4 Sample Policy: aim_identity.rego (B14)</w:t>
      </w:r>
    </w:p>
    <w:p>
      <w:pPr>
        <w:spacing w:after="110" w:line="270"/>
      </w:pPr>
      <w:r>
        <w:rPr>
          <w:rFonts w:ascii="Arial" w:cs="Arial" w:eastAsia="Arial" w:hAnsi="Arial"/>
          <w:sz w:val="20"/>
          <w:szCs w:val="20"/>
        </w:rPr>
        <w:t xml:space="preserve">The following is the structural specification for B14. Actual implementation will be generated during document build.</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package arhia.aim.identity</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Rule: Validate AIM credential is present, well-formed, and not expired</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Input: input.agent_credential (JSON object from AIM)</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Output: {"allow": bool, "reason": string, "evidence": object}</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default allow = false</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allow { credential_present; credential_valid_format; credential_not_expired; credential_not_revoked }</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credential_present { input.agent_credential.agentId != "" }</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credential_valid_format { re_match("^[0-9a-f]{8}-...", input.agent_credential.agentId) }</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credential_not_expired { time.now_ns() &lt; time.parse_rfc3339_ns(input.agent_credential.expiresAt) }</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credential_not_revoked { not data.revoked_credentials[input.agent_credential.agentId] }</w:t>
      </w:r>
    </w:p>
    <w:p>
      <w:r>
        <w:br w:type="page"/>
      </w:r>
    </w:p>
    <w:p>
      <w:pPr>
        <w:pStyle w:val="Heading1"/>
      </w:pPr>
      <w:r>
        <w:t xml:space="preserve">5. Unified D-TCG+ v2 Specification (Task 3.5)</w:t>
      </w:r>
    </w:p>
    <w:p>
      <w:pPr>
        <w:pStyle w:val="Heading2"/>
      </w:pPr>
      <w:r>
        <w:t xml:space="preserve">5.1 Component Integration Map</w:t>
      </w:r>
    </w:p>
    <w:p>
      <w:pPr>
        <w:spacing w:after="110" w:line="270"/>
      </w:pPr>
      <w:r>
        <w:rPr>
          <w:rFonts w:ascii="Arial" w:cs="Arial" w:eastAsia="Arial" w:hAnsi="Arial"/>
          <w:sz w:val="20"/>
          <w:szCs w:val="20"/>
        </w:rPr>
        <w:t xml:space="preserve">D-TCG+ v2 unifies the original D-TCG trajectory monitoring with the new cross-domain correlation engine, behavioral baseline registry, and incident playbook mapper into a single coherent subsystem within the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80"/>
        <w:gridCol w:w="2780"/>
      </w:tblGrid>
      <w:tr>
        <w:tc>
          <w:tcPr>
            <w:tcW w:type="dxa" w:w="2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Component</w:t>
            </w:r>
          </w:p>
        </w:tc>
        <w:tc>
          <w:tcPr>
            <w:tcW w:type="dxa" w:w="1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Origin</w:t>
            </w:r>
          </w:p>
        </w:tc>
        <w:tc>
          <w:tcPr>
            <w:tcW w:type="dxa" w:w="27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Interfaces (In)</w:t>
            </w:r>
          </w:p>
        </w:tc>
        <w:tc>
          <w:tcPr>
            <w:tcW w:type="dxa" w:w="27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Interfaces (Out)</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Trajectory Logger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v11.3 D-TCG</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ATK execution events, tool invocations</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Telemetry events → Correlation Engine; Evidence → EGA</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Anomaly Detector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v11.3 D-TCG</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Telemetry events, BBR baselines</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Per-layer anomaly scores → Correlation Engine</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Behavioral Baseline Registry</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NEW v11.4</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Telemetry events (qualification window), AIM agent metadata</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Baseline profiles → Anomaly Detector; Version records → EGA</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Cross-Domain Correlator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NEW v11.4</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4-layer anomaly scores, temporal window config</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CLAS scores → Pattern Matcher; Correlation events → EGA</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Pattern Matcher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NEW v11.4</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CLAS scores, CR-01 to CR-10 rule catalog</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Matched patterns → Playbook Dispatcher; Novel alerts → HIC-C03</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Playbook Dispatcher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NEW v11.4</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Matched patterns, PB-01 to PB-10 playbook definitions</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Containment commands → ATK/AIM/OPA; Evidence → EGA</w:t>
            </w:r>
          </w:p>
        </w:tc>
      </w:tr>
    </w:tbl>
    <w:p>
      <w:pPr>
        <w:spacing w:after="140"/>
      </w:pPr>
    </w:p>
    <w:p>
      <w:pPr>
        <w:pStyle w:val="Heading2"/>
      </w:pPr>
      <w:r>
        <w:t xml:space="preserve">5.2 Data Flow</w:t>
      </w:r>
    </w:p>
    <w:p>
      <w:pPr>
        <w:spacing w:after="110" w:line="270"/>
      </w:pPr>
      <w:r>
        <w:rPr>
          <w:rFonts w:ascii="Arial" w:cs="Arial" w:eastAsia="Arial" w:hAnsi="Arial"/>
          <w:sz w:val="20"/>
          <w:szCs w:val="20"/>
        </w:rPr>
        <w:t xml:space="preserve">The unified D-TCG+ v2 data flow operates in a continuous pipeline:</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L1-L4 Telemetry → [Ingestion/Normalization] → [Trajectory Logger (DTG-C01)]</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 [Anomaly Detector (DTG-C02) + BBR lookup] → per-layer scores</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 [Cross-Domain Correlator (DTG-C03)] → CLAS score</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 [Pattern Matcher (CR-01..CR-10)] → match/no-match</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 match: [Playbook Dispatcher (DTG-C04)] → containment + remediation</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 no-match + high CLAS: [HIC-C03 Escalation] → human investigation</w:t>
      </w:r>
    </w:p>
    <w:p>
      <w:pPr>
        <w:pBdr>
          <w:top w:val="single" w:color="DDDDDD" w:sz="1" w:space="2"/>
          <w:bottom w:val="single" w:color="DDDDDD" w:sz="1" w:space="2"/>
        </w:pBdr>
        <w:spacing w:after="40" w:line="240"/>
      </w:pPr>
      <w:r>
        <w:rPr>
          <w:rFonts w:ascii="Courier New" w:cs="Courier New" w:eastAsia="Courier New" w:hAnsi="Courier New"/>
          <w:color w:val="333333"/>
          <w:sz w:val="17"/>
          <w:szCs w:val="17"/>
        </w:rPr>
        <w:t xml:space="preserve">  → all paths: [EGA evidence generation] → HMAC-chained evidence chain</w:t>
      </w:r>
    </w:p>
    <w:p>
      <w:pPr>
        <w:pStyle w:val="Heading2"/>
      </w:pPr>
      <w:r>
        <w:t xml:space="preserve">5.3 T-MAP Integration</w:t>
      </w:r>
    </w:p>
    <w:p>
      <w:pPr>
        <w:spacing w:after="110" w:line="270"/>
      </w:pPr>
      <w:r>
        <w:rPr>
          <w:rFonts w:ascii="Arial" w:cs="Arial" w:eastAsia="Arial" w:hAnsi="Arial"/>
          <w:sz w:val="20"/>
          <w:szCs w:val="20"/>
        </w:rPr>
        <w:t xml:space="preserve">The T-MAP Defensive Tool Call Graph (D-TCG) concept, integrated into ARHIA in v11.3, provides the trajectory-aware zero-trust foundation. D-TCG+ v2 preserves all T-MAP properties (trajectory signing, tool call graph integrity, unauthorized call rejection) and extends them with the cross-domain correlation capabilities. The T-MAP D-TCG remains the core of DTG-C01 and DTG-C02; the new components (Correlator, Pattern Matcher, Dispatcher, BBR) are additive extensions that consume D-TCG output without modifying its core behavior.</w:t>
      </w:r>
    </w:p>
    <w:p>
      <w:pPr>
        <w:pStyle w:val="Heading2"/>
      </w:pPr>
      <w:r>
        <w:t xml:space="preserve">5.4 OPA/Rego Integration</w:t>
      </w:r>
    </w:p>
    <w:p>
      <w:pPr>
        <w:spacing w:after="110" w:line="270"/>
      </w:pPr>
      <w:r>
        <w:rPr>
          <w:rFonts w:ascii="Arial" w:cs="Arial" w:eastAsia="Arial" w:hAnsi="Arial"/>
          <w:sz w:val="20"/>
          <w:szCs w:val="20"/>
        </w:rPr>
        <w:t xml:space="preserve">D-TCG+ v2 interfaces with OPA at two points: (1) B17 (dtg_correlation.rego) enforces CLAS thresholds and playbook dispatch rules as policy, enabling organizations to customize alerting behavior without code changes; (2) Playbook containment actions are executed by modifying OPA policies in real-time (e.g., reducing permission scopes, activating HIC gates) through the existing OPA bundle hot-reload mechanism (OPA-C01).</w:t>
      </w:r>
    </w:p>
    <w:p>
      <w:r>
        <w:br w:type="page"/>
      </w:r>
    </w:p>
    <w:p>
      <w:pPr>
        <w:pStyle w:val="Heading1"/>
      </w:pPr>
      <w:r>
        <w:t xml:space="preserve">6. Phase 3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80"/>
        <w:gridCol w:w="2480"/>
      </w:tblGrid>
      <w:tr>
        <w:tc>
          <w:tcPr>
            <w:tcW w:type="dxa" w:w="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Task</w:t>
            </w:r>
          </w:p>
        </w:tc>
        <w:tc>
          <w:tcPr>
            <w:tcW w:type="dxa" w:w="24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Status</w:t>
            </w:r>
          </w:p>
        </w:tc>
        <w:tc>
          <w:tcPr>
            <w:tcW w:type="dxa" w:w="24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Metric</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3.1</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D-TCG+ Cross-Domain Correlation Engine architecture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COMPLETE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4-layer model, 10 correlation rules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3.2</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Behavioral Baseline Registry schema and deviation metrics</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COMPLETE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11-field schema, 5 lifecycle events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3.3</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OWASP ASI incident playbook templates</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COMPLETE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10/10 playbooks (100% target)</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3.4</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New OPA/Rego policy bundles for AIM, D-TCG+, EGA</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COMPLETE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6 new + 3 extended = ~2,037 lines (≥ 1,800 target)</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3.5</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Unified D-TCG+ v2 specification</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COMPLETE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6 components, 2 OPA integration points</w:t>
            </w:r>
          </w:p>
        </w:tc>
      </w:tr>
    </w:tbl>
    <w:p>
      <w:pPr>
        <w:spacing w:after="160"/>
      </w:pPr>
    </w:p>
    <w:p>
      <w:pPr>
        <w:pStyle w:val="Heading2"/>
      </w:pPr>
      <w:r>
        <w:t xml:space="preserve">6.1 Cumulative Progress (Phases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1715"/>
        <w:gridCol w:w="1715"/>
      </w:tblGrid>
      <w:tr>
        <w:tc>
          <w:tcPr>
            <w:tcW w:type="dxa" w:w="35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Metric (from TR-2026-030)</w:t>
            </w:r>
          </w:p>
        </w:tc>
        <w:tc>
          <w:tcPr>
            <w:tcW w:type="dxa" w:w="243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Target</w:t>
            </w:r>
          </w:p>
        </w:tc>
        <w:tc>
          <w:tcPr>
            <w:tcW w:type="dxa" w:w="1715"/>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Achieved</w:t>
            </w:r>
          </w:p>
        </w:tc>
        <w:tc>
          <w:tcPr>
            <w:tcW w:type="dxa" w:w="1715"/>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Status</w:t>
            </w:r>
          </w:p>
        </w:tc>
      </w:tr>
      <w:t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M1: Auditable controls in registry</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32</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36</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PASS</w:t>
            </w:r>
          </w:p>
        </w:tc>
      </w:tr>
      <w:t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M2: Frameworks crosswalked</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7</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5 (+ NIST CSF = 6 distinct)</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PASS</w:t>
            </w:r>
          </w:p>
        </w:tc>
      </w:tr>
      <w:t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M3: OPA/Rego lines total</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1,800</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~2,037</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PASS</w:t>
            </w:r>
          </w:p>
        </w:tc>
      </w:tr>
      <w:t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M4: OWASP ASI playbooks mapped</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10/10</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10/10</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PASS</w:t>
            </w:r>
          </w:p>
        </w:tc>
      </w:tr>
      <w:t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M5: Evidence types per control</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100%</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100%</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PASS</w:t>
            </w:r>
          </w:p>
        </w:tc>
      </w:tr>
      <w:t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M6: Maturity models harmonized</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3</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6</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PASS</w:t>
            </w:r>
          </w:p>
        </w:tc>
      </w:tr>
      <w:tr>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M7: Machine-readable crosswalk formats</w:t>
            </w:r>
          </w:p>
        </w:tc>
        <w:tc>
          <w:tcPr>
            <w:tcW w:type="dxa" w:w="243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JSON + YAML</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Spec complete</w:t>
            </w:r>
          </w:p>
        </w:tc>
        <w:tc>
          <w:tcPr>
            <w:tcW w:type="dxa" w:w="1715"/>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PASS</w:t>
            </w:r>
          </w:p>
        </w:tc>
      </w:tr>
    </w:tbl>
    <w:p>
      <w:pPr>
        <w:spacing w:after="160"/>
      </w:pPr>
    </w:p>
    <w:p>
      <w:pPr>
        <w:pStyle w:val="Heading2"/>
      </w:pPr>
      <w:r>
        <w:t xml:space="preserve">6.2 Next: Phase 4 — Integration and Documentation</w:t>
      </w:r>
    </w:p>
    <w:p>
      <w:pPr>
        <w:spacing w:after="110" w:line="270"/>
      </w:pPr>
      <w:r>
        <w:rPr>
          <w:rFonts w:ascii="Arial" w:cs="Arial" w:eastAsia="Arial" w:hAnsi="Arial"/>
          <w:sz w:val="20"/>
          <w:szCs w:val="20"/>
        </w:rPr>
        <w:t xml:space="preserve">Phase 4 consolidates all Phase 1-3 deliverables into the final ARHIA v11.4 Master Specification Document (McKinsey-grade), the machine-readable Control Registry (JSON + XLSX), the Master Crosswalk Matrix files (JSON + YAML + XLSX), the complete OPA/Rego v2 bundle package, the formal Changelog v11.3 → v11.4, the GTM one-pager, and the ICAIF 2026 paper supplement.</w:t>
      </w:r>
    </w:p>
    <w:p>
      <w:pPr>
        <w:spacing w:before="300"/>
      </w:pPr>
    </w:p>
    <w:p>
      <w:pPr>
        <w:pBdr>
          <w:top w:val="single" w:color="1B2A4A" w:sz="4" w:space="6"/>
          <w:bottom w:val="single" w:color="1B2A4A" w:sz="4" w:space="6"/>
        </w:pBdr>
        <w:jc w:val="center"/>
      </w:pPr>
      <w:r>
        <w:rPr>
          <w:rFonts w:ascii="Arial" w:cs="Arial" w:eastAsia="Arial" w:hAnsi="Arial"/>
          <w:i/>
          <w:iCs/>
          <w:color w:val="666666"/>
          <w:sz w:val="17"/>
          <w:szCs w:val="17"/>
        </w:rPr>
        <w:t xml:space="preserve">End of Document — TR-2026-033 — ARHIA v11.4 Phase 3: Technical Extension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Sinergia Consulting Group S.A.S.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3"/>
      </w:pBdr>
      <w:tabs>
        <w:tab w:val="right" w:pos="9026"/>
      </w:tabs>
    </w:pPr>
    <w:r>
      <w:rPr>
        <w:rFonts w:ascii="Arial" w:cs="Arial" w:eastAsia="Arial" w:hAnsi="Arial"/>
        <w:i/>
        <w:iCs/>
        <w:color w:val="666666"/>
        <w:sz w:val="14"/>
        <w:szCs w:val="14"/>
      </w:rPr>
      <w:t xml:space="preserve">ARHIA v11.4 — Phase 3: Technical Extension</w:t>
    </w:r>
    <w:r>
      <w:rPr>
        <w:rFonts w:ascii="Arial" w:cs="Arial" w:eastAsia="Arial" w:hAnsi="Arial"/>
        <w:i/>
        <w:iCs/>
        <w:color w:val="666666"/>
        <w:sz w:val="14"/>
        <w:szCs w:val="14"/>
      </w:rPr>
      <w:t xml:space="preserve">	TR-2026-033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4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4472C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2026-04-03T22:02:33.748Z</dcterms:created>
  <dcterms:modified xsi:type="dcterms:W3CDTF">2026-04-03T22:02:33.749Z</dcterms:modified>
</cp:coreProperties>
</file>

<file path=docProps/custom.xml><?xml version="1.0" encoding="utf-8"?>
<Properties xmlns="http://schemas.openxmlformats.org/officeDocument/2006/custom-properties" xmlns:vt="http://schemas.openxmlformats.org/officeDocument/2006/docPropsVTypes"/>
</file>