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240" w:lineRule="auto"/>
        <w:jc w:val="left"/>
        <w:rPr/>
      </w:pPr>
      <w:r w:rsidDel="00000000" w:rsidR="00000000" w:rsidRPr="00000000">
        <w:rPr>
          <w:rFonts w:ascii="Times New Roman" w:cs="Times New Roman" w:eastAsia="Times New Roman" w:hAnsi="Times New Roman"/>
          <w:b w:val="0"/>
          <w:bCs w:val="0"/>
          <w:rtl w:val="0"/>
        </w:rPr>
        <w:t xml:space="preserve">Raymond He</w:t>
      </w:r>
      <w:r w:rsidDel="00000000" w:rsidR="00000000" w:rsidRPr="00000000">
        <w:rPr>
          <w:rtl w:val="0"/>
        </w:rPr>
      </w:r>
    </w:p>
    <w:p w:rsidR="00000000" w:rsidDel="00000000" w:rsidP="00000000" w:rsidRDefault="00000000" w:rsidRPr="00000000" w14:paraId="00000002">
      <w:pPr>
        <w:spacing w:after="0" w:before="0" w:line="240" w:lineRule="auto"/>
        <w:jc w:val="left"/>
        <w:rPr/>
      </w:pPr>
      <w:r w:rsidDel="00000000" w:rsidR="00000000" w:rsidRPr="00000000">
        <w:rPr>
          <w:rFonts w:ascii="Times New Roman" w:cs="Times New Roman" w:eastAsia="Times New Roman" w:hAnsi="Times New Roman"/>
          <w:b w:val="0"/>
          <w:bCs w:val="0"/>
          <w:rtl w:val="0"/>
        </w:rPr>
        <w:t xml:space="preserve">Cotiviti Intern Assessment</w:t>
      </w:r>
      <w:r w:rsidDel="00000000" w:rsidR="00000000" w:rsidRPr="00000000">
        <w:rPr>
          <w:rtl w:val="0"/>
        </w:rPr>
      </w:r>
    </w:p>
    <w:p w:rsidR="00000000" w:rsidDel="00000000" w:rsidP="00000000" w:rsidRDefault="00000000" w:rsidRPr="00000000" w14:paraId="00000003">
      <w:pPr>
        <w:spacing w:after="0" w:before="0" w:line="240" w:lineRule="auto"/>
        <w:jc w:val="left"/>
        <w:rPr/>
      </w:pPr>
      <w:r w:rsidDel="00000000" w:rsidR="00000000" w:rsidRPr="00000000">
        <w:rPr>
          <w:rFonts w:ascii="Times New Roman" w:cs="Times New Roman" w:eastAsia="Times New Roman" w:hAnsi="Times New Roman"/>
          <w:b w:val="0"/>
          <w:bCs w:val="0"/>
          <w:rtl w:val="0"/>
        </w:rPr>
        <w:t xml:space="preserve">August 7, 2026</w:t>
      </w:r>
      <w:r w:rsidDel="00000000" w:rsidR="00000000" w:rsidRPr="00000000">
        <w:rPr>
          <w:rtl w:val="0"/>
        </w:rPr>
      </w:r>
    </w:p>
    <w:p w:rsidR="00000000" w:rsidDel="00000000" w:rsidP="00000000" w:rsidRDefault="00000000" w:rsidRPr="00000000" w14:paraId="00000004">
      <w:pPr>
        <w:spacing w:after="0" w:before="0" w:line="240" w:lineRule="auto"/>
        <w:jc w:val="left"/>
        <w:rPr/>
      </w:pPr>
      <w:r w:rsidDel="00000000" w:rsidR="00000000" w:rsidRPr="00000000">
        <w:rPr>
          <w:rtl w:val="0"/>
        </w:rPr>
      </w:r>
    </w:p>
    <w:p w:rsidR="00000000" w:rsidDel="00000000" w:rsidP="00000000" w:rsidRDefault="00000000" w:rsidRPr="00000000" w14:paraId="00000005">
      <w:pPr>
        <w:spacing w:after="0" w:before="0" w:line="360" w:lineRule="auto"/>
        <w:jc w:val="center"/>
        <w:rPr>
          <w:sz w:val="32"/>
          <w:szCs w:val="32"/>
        </w:rPr>
      </w:pPr>
      <w:r w:rsidDel="00000000" w:rsidR="00000000" w:rsidRPr="00000000">
        <w:rPr>
          <w:rFonts w:ascii="Times New Roman" w:cs="Times New Roman" w:eastAsia="Times New Roman" w:hAnsi="Times New Roman"/>
          <w:b w:val="1"/>
          <w:bCs w:val="1"/>
          <w:sz w:val="32"/>
          <w:szCs w:val="32"/>
          <w:rtl w:val="0"/>
        </w:rPr>
        <w:t xml:space="preserve">Agentic Generative AI for Clinical Decision Making: Rethinking Prior Authorization at the Payer Level</w:t>
      </w:r>
      <w:r w:rsidDel="00000000" w:rsidR="00000000" w:rsidRPr="00000000">
        <w:rPr>
          <w:rtl w:val="0"/>
        </w:rPr>
      </w:r>
    </w:p>
    <w:p w:rsidR="00000000" w:rsidDel="00000000" w:rsidP="00000000" w:rsidRDefault="00000000" w:rsidRPr="00000000" w14:paraId="00000006">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Introduction</w:t>
      </w:r>
      <w:r w:rsidDel="00000000" w:rsidR="00000000" w:rsidRPr="00000000">
        <w:rPr>
          <w:rtl w:val="0"/>
        </w:rPr>
      </w:r>
    </w:p>
    <w:p w:rsidR="00000000" w:rsidDel="00000000" w:rsidP="00000000" w:rsidRDefault="00000000" w:rsidRPr="00000000" w14:paraId="00000007">
      <w:pPr>
        <w:spacing w:after="0" w:before="0" w:line="240" w:lineRule="auto"/>
        <w:ind w:firstLine="720"/>
        <w:jc w:val="left"/>
        <w:rPr/>
      </w:pPr>
      <w:r w:rsidDel="00000000" w:rsidR="00000000" w:rsidRPr="00000000">
        <w:rPr>
          <w:rFonts w:ascii="Times New Roman" w:cs="Times New Roman" w:eastAsia="Times New Roman" w:hAnsi="Times New Roman"/>
          <w:b w:val="0"/>
          <w:bCs w:val="0"/>
          <w:sz w:val="24"/>
          <w:szCs w:val="24"/>
          <w:rtl w:val="0"/>
        </w:rPr>
        <w:t xml:space="preserve">Prior authorization (PA) is a utilization management process by which health insurers require providers to obtain approval before delivering certain treatments. Across the U.S. healthcare system, PA decisions involve synthesizing clinical evidence, regulatory criteria, financial risk, and operational constraints</w:t>
      </w:r>
      <w:r w:rsidDel="00000000" w:rsidR="00000000" w:rsidRPr="00000000">
        <w:rPr>
          <w:rtl w:val="0"/>
        </w:rPr>
        <w:t xml:space="preserve">. This is</w:t>
      </w:r>
      <w:r w:rsidDel="00000000" w:rsidR="00000000" w:rsidRPr="00000000">
        <w:rPr>
          <w:rFonts w:ascii="Times New Roman" w:cs="Times New Roman" w:eastAsia="Times New Roman" w:hAnsi="Times New Roman"/>
          <w:b w:val="0"/>
          <w:bCs w:val="0"/>
          <w:sz w:val="24"/>
          <w:szCs w:val="24"/>
          <w:rtl w:val="0"/>
        </w:rPr>
        <w:t xml:space="preserve"> typically through sequential, siloed review by human experts. Agentic generative AI refers to systems in which large language models (LLMs) act as autonomous agents capable of pursuing multi-step goals, generating structured outputs, and adapting their reasoning in response to inputs from other agents or environments (Park et al., 2023). Applied to clinical decision making, this architecture enables simulation of the full range of stakeholder perspectives</w:t>
      </w:r>
      <w:r w:rsidDel="00000000" w:rsidR="00000000" w:rsidRPr="00000000">
        <w:rPr>
          <w:rtl w:val="0"/>
        </w:rPr>
        <w:t xml:space="preserve">, whether</w:t>
      </w:r>
      <w:r w:rsidDel="00000000" w:rsidR="00000000" w:rsidRPr="00000000">
        <w:rPr>
          <w:rFonts w:ascii="Times New Roman" w:cs="Times New Roman" w:eastAsia="Times New Roman" w:hAnsi="Times New Roman"/>
          <w:b w:val="0"/>
          <w:bCs w:val="0"/>
          <w:sz w:val="24"/>
          <w:szCs w:val="24"/>
          <w:rtl w:val="0"/>
        </w:rPr>
        <w:t xml:space="preserve"> clinical, financial, compliance, and operational</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in a single automated pipeline, surfacing documentation gaps and decision risks before a coverage determination is finalized.</w:t>
      </w:r>
      <w:r w:rsidDel="00000000" w:rsidR="00000000" w:rsidRPr="00000000">
        <w:rPr>
          <w:rtl w:val="0"/>
        </w:rPr>
      </w:r>
    </w:p>
    <w:p w:rsidR="00000000" w:rsidDel="00000000" w:rsidP="00000000" w:rsidRDefault="00000000" w:rsidRPr="00000000" w14:paraId="00000008">
      <w:pPr>
        <w:spacing w:after="0" w:before="0" w:line="480" w:lineRule="auto"/>
        <w:jc w:val="left"/>
        <w:rPr/>
      </w:pPr>
      <w:r w:rsidDel="00000000" w:rsidR="00000000" w:rsidRPr="00000000">
        <w:rPr>
          <w:rtl w:val="0"/>
        </w:rPr>
      </w:r>
    </w:p>
    <w:p w:rsidR="00000000" w:rsidDel="00000000" w:rsidP="00000000" w:rsidRDefault="00000000" w:rsidRPr="00000000" w14:paraId="00000009">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Trends</w:t>
      </w:r>
      <w:r w:rsidDel="00000000" w:rsidR="00000000" w:rsidRPr="00000000">
        <w:rPr>
          <w:rtl w:val="0"/>
        </w:rPr>
      </w:r>
    </w:p>
    <w:p w:rsidR="00000000" w:rsidDel="00000000" w:rsidP="00000000" w:rsidRDefault="00000000" w:rsidRPr="00000000" w14:paraId="0000000A">
      <w:pPr>
        <w:spacing w:after="0" w:before="0" w:line="240" w:lineRule="auto"/>
        <w:ind w:firstLine="720"/>
        <w:jc w:val="left"/>
        <w:rPr/>
      </w:pPr>
      <w:r w:rsidDel="00000000" w:rsidR="00000000" w:rsidRPr="00000000">
        <w:rPr>
          <w:rFonts w:ascii="Times New Roman" w:cs="Times New Roman" w:eastAsia="Times New Roman" w:hAnsi="Times New Roman"/>
          <w:b w:val="0"/>
          <w:bCs w:val="0"/>
          <w:sz w:val="24"/>
          <w:szCs w:val="24"/>
          <w:rtl w:val="0"/>
        </w:rPr>
        <w:t xml:space="preserve">Three converging trends are reshaping clinical decision making in health care. </w:t>
      </w:r>
      <w:r w:rsidDel="00000000" w:rsidR="00000000" w:rsidRPr="00000000">
        <w:rPr>
          <w:rtl w:val="0"/>
        </w:rPr>
        <w:t xml:space="preserve">First, CMS's 2024 Prior Authorization Final Rule (CMS-0057-F) requires impacted payers to issue decisions within 72 hours for expedited requests and seven calendar days for standard requests, beginning in 2026. Combined with the substantial administrative burden associated with PA, these tighter turnaround requirements create incentives for payers to explore automation and AI-assisted review workflows</w:t>
      </w:r>
      <w:r w:rsidDel="00000000" w:rsidR="00000000" w:rsidRPr="00000000">
        <w:rPr>
          <w:rFonts w:ascii="Times New Roman" w:cs="Times New Roman" w:eastAsia="Times New Roman" w:hAnsi="Times New Roman"/>
          <w:b w:val="0"/>
          <w:bCs w:val="0"/>
          <w:sz w:val="24"/>
          <w:szCs w:val="24"/>
          <w:rtl w:val="0"/>
        </w:rPr>
        <w:t xml:space="preserve"> (CMS, 2024). Second, the proliferation of LLMs with structured output capabilities</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particularly models that reliably produce well-formed JSON conforming to complex schema</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enables agentic simulation of distinct professional roles at scale (Ouyang et al., 2022; Anthropic, 202</w:t>
      </w:r>
      <w:r w:rsidDel="00000000" w:rsidR="00000000" w:rsidRPr="00000000">
        <w:rPr>
          <w:rtl w:val="0"/>
        </w:rPr>
        <w:t xml:space="preserve">6</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Third, multi-agent frameworks enable role-specialized LLM agents to exchange feedback, critique one another, and revise their outputs through iterative conversation, with studies demonstrating improved performance over simpler LLM configurations in several tasks (Wu et al., 2023). This structure is particularly well suited to adversarial review contexts such as prior authorization, where clinical, financial, and regulatory perspectives may conflict. Emerging open-source implementations such as MiroFish (666ghj, 2026), which populates digital sandboxes with thousands of LLM agents drawing on real-world knowledge graphs to simulate future outcomes, demonstrate that this architecture is maturing beyond academic prototypes into deployable systems.</w:t>
      </w:r>
    </w:p>
    <w:p w:rsidR="00000000" w:rsidDel="00000000" w:rsidP="00000000" w:rsidRDefault="00000000" w:rsidRPr="00000000" w14:paraId="0000000B">
      <w:pPr>
        <w:spacing w:after="0" w:before="0" w:line="480" w:lineRule="auto"/>
        <w:jc w:val="left"/>
        <w:rPr/>
      </w:pPr>
      <w:r w:rsidDel="00000000" w:rsidR="00000000" w:rsidRPr="00000000">
        <w:rPr>
          <w:rtl w:val="0"/>
        </w:rPr>
      </w:r>
    </w:p>
    <w:p w:rsidR="00000000" w:rsidDel="00000000" w:rsidP="00000000" w:rsidRDefault="00000000" w:rsidRPr="00000000" w14:paraId="0000000C">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Opportunities</w:t>
      </w:r>
      <w:r w:rsidDel="00000000" w:rsidR="00000000" w:rsidRPr="00000000">
        <w:rPr>
          <w:rtl w:val="0"/>
        </w:rPr>
      </w:r>
    </w:p>
    <w:p w:rsidR="00000000" w:rsidDel="00000000" w:rsidP="00000000" w:rsidRDefault="00000000" w:rsidRPr="00000000" w14:paraId="0000000D">
      <w:pPr>
        <w:spacing w:after="0" w:before="0" w:line="240" w:lineRule="auto"/>
        <w:ind w:firstLine="720"/>
        <w:jc w:val="left"/>
        <w:rPr/>
      </w:pPr>
      <w:r w:rsidDel="00000000" w:rsidR="00000000" w:rsidRPr="00000000">
        <w:rPr>
          <w:rFonts w:ascii="Times New Roman" w:cs="Times New Roman" w:eastAsia="Times New Roman" w:hAnsi="Times New Roman"/>
          <w:b w:val="0"/>
          <w:bCs w:val="0"/>
          <w:sz w:val="24"/>
          <w:szCs w:val="24"/>
          <w:rtl w:val="0"/>
        </w:rPr>
        <w:t xml:space="preserve">For Cotiviti, a company positioned at the intersection of payment integrity and clinical analytics, agentic PA simulation represents a high-value product opportunity. Currently, </w:t>
      </w:r>
      <w:r w:rsidDel="00000000" w:rsidR="00000000" w:rsidRPr="00000000">
        <w:rPr>
          <w:rtl w:val="0"/>
        </w:rPr>
        <w:t xml:space="preserve">prior authorization imposes substantial administrative costs on the U.S. healthcare system, with recent research estimating annual burdens of up to $31 billion, while physicians report completing an average of 43 prior authorization requests and spending approximately 12 hours on related tasks each week (AMA, 2024). </w:t>
      </w:r>
      <w:r w:rsidDel="00000000" w:rsidR="00000000" w:rsidRPr="00000000">
        <w:rPr>
          <w:rFonts w:ascii="Times New Roman" w:cs="Times New Roman" w:eastAsia="Times New Roman" w:hAnsi="Times New Roman"/>
          <w:b w:val="0"/>
          <w:bCs w:val="0"/>
          <w:sz w:val="24"/>
          <w:szCs w:val="24"/>
          <w:rtl w:val="0"/>
        </w:rPr>
        <w:t xml:space="preserve">An agentic simulation layer could reduce effective review time by surfacing documentation deficiencies, citation errors, and unresolved step-therapy gaps in minutes rather than days. Cotiviti's existing claims data infrastructure provides a unique advantage: simulation outputs can be validated against historical approval and denial patterns and downstream claims trajectories, enabling grounded confidence scoring. </w:t>
      </w:r>
      <w:r w:rsidDel="00000000" w:rsidR="00000000" w:rsidRPr="00000000">
        <w:rPr>
          <w:rtl w:val="0"/>
        </w:rPr>
        <w:t xml:space="preserve">The multi-stakeholder architecture also records each agent's reasoning in a structured, attributable format, which could support documentation requirements set by URAC and CMS for prior authorization decisions.</w:t>
      </w:r>
    </w:p>
    <w:p w:rsidR="00000000" w:rsidDel="00000000" w:rsidP="00000000" w:rsidRDefault="00000000" w:rsidRPr="00000000" w14:paraId="0000000E">
      <w:pPr>
        <w:spacing w:after="0" w:before="0" w:line="480" w:lineRule="auto"/>
        <w:jc w:val="left"/>
        <w:rPr/>
      </w:pPr>
      <w:r w:rsidDel="00000000" w:rsidR="00000000" w:rsidRPr="00000000">
        <w:rPr>
          <w:rtl w:val="0"/>
        </w:rPr>
      </w:r>
    </w:p>
    <w:p w:rsidR="00000000" w:rsidDel="00000000" w:rsidP="00000000" w:rsidRDefault="00000000" w:rsidRPr="00000000" w14:paraId="0000000F">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Threats</w:t>
      </w:r>
      <w:r w:rsidDel="00000000" w:rsidR="00000000" w:rsidRPr="00000000">
        <w:rPr>
          <w:rtl w:val="0"/>
        </w:rPr>
      </w:r>
    </w:p>
    <w:p w:rsidR="00000000" w:rsidDel="00000000" w:rsidP="00000000" w:rsidRDefault="00000000" w:rsidRPr="00000000" w14:paraId="00000010">
      <w:pPr>
        <w:spacing w:after="0" w:before="0" w:line="240" w:lineRule="auto"/>
        <w:ind w:firstLine="720"/>
        <w:jc w:val="left"/>
        <w:rPr/>
      </w:pPr>
      <w:r w:rsidDel="00000000" w:rsidR="00000000" w:rsidRPr="00000000">
        <w:rPr>
          <w:rFonts w:ascii="Times New Roman" w:cs="Times New Roman" w:eastAsia="Times New Roman" w:hAnsi="Times New Roman"/>
          <w:b w:val="0"/>
          <w:bCs w:val="0"/>
          <w:sz w:val="24"/>
          <w:szCs w:val="24"/>
          <w:rtl w:val="0"/>
        </w:rPr>
        <w:t xml:space="preserve">Regulatory constraints represent the primary threat to agentic PA automation. CMS and most state utilization review statutes require PA denials be reviewed by a licensed physician or appropriate clinical peer</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a human-in-the-loop requirement that limits full automation of adverse determinations (NAIC, 2023). Model hallucination in clinical contexts carries distinct liability: an agent that incorrectly characterizes trial evidence could underpin a coverage decision later challenged on appeal. HIPAA compliance introduces additional friction, as transmitting member-level clinical data to third-party LLM APIs requires business associate agreements and data residency controls that many cloud AI providers do not yet offer at enterprise scale. Provider trust is also at stake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sz w:val="24"/>
          <w:szCs w:val="24"/>
          <w:rtl w:val="0"/>
        </w:rPr>
        <w:t xml:space="preserve">if agentic tools are perceived as denial-optimization instruments rather than neutral analytical aids, provider relations and network stability could be adversely affected.</w:t>
      </w:r>
      <w:r w:rsidDel="00000000" w:rsidR="00000000" w:rsidRPr="00000000">
        <w:rPr>
          <w:rtl w:val="0"/>
        </w:rPr>
      </w:r>
    </w:p>
    <w:p w:rsidR="00000000" w:rsidDel="00000000" w:rsidP="00000000" w:rsidRDefault="00000000" w:rsidRPr="00000000" w14:paraId="00000011">
      <w:pPr>
        <w:spacing w:after="0" w:before="0" w:line="480" w:lineRule="auto"/>
        <w:jc w:val="left"/>
        <w:rPr/>
      </w:pPr>
      <w:r w:rsidDel="00000000" w:rsidR="00000000" w:rsidRPr="00000000">
        <w:rPr>
          <w:rtl w:val="0"/>
        </w:rPr>
      </w:r>
    </w:p>
    <w:p w:rsidR="00000000" w:rsidDel="00000000" w:rsidP="00000000" w:rsidRDefault="00000000" w:rsidRPr="00000000" w14:paraId="00000012">
      <w:pPr>
        <w:spacing w:after="0" w:before="0" w:line="480" w:lineRule="auto"/>
        <w:jc w:val="left"/>
        <w:rPr/>
      </w:pPr>
      <w:r w:rsidDel="00000000" w:rsidR="00000000" w:rsidRPr="00000000">
        <w:rPr>
          <w:rFonts w:ascii="Times New Roman" w:cs="Times New Roman" w:eastAsia="Times New Roman" w:hAnsi="Times New Roman"/>
          <w:b w:val="1"/>
          <w:bCs w:val="1"/>
          <w:sz w:val="24"/>
          <w:szCs w:val="24"/>
          <w:rtl w:val="0"/>
        </w:rPr>
        <w:t xml:space="preserve">Strategic Recommendations</w:t>
      </w:r>
      <w:r w:rsidDel="00000000" w:rsidR="00000000" w:rsidRPr="00000000">
        <w:rPr>
          <w:rtl w:val="0"/>
        </w:rPr>
      </w:r>
    </w:p>
    <w:p w:rsidR="00000000" w:rsidDel="00000000" w:rsidP="00000000" w:rsidRDefault="00000000" w:rsidRPr="00000000" w14:paraId="00000013">
      <w:pPr>
        <w:spacing w:after="0" w:before="0" w:line="240" w:lineRule="auto"/>
        <w:ind w:firstLine="720"/>
        <w:jc w:val="left"/>
        <w:rPr/>
      </w:pPr>
      <w:r w:rsidDel="00000000" w:rsidR="00000000" w:rsidRPr="00000000">
        <w:rPr>
          <w:rFonts w:ascii="Times New Roman" w:cs="Times New Roman" w:eastAsia="Times New Roman" w:hAnsi="Times New Roman"/>
          <w:b w:val="0"/>
          <w:bCs w:val="0"/>
          <w:sz w:val="24"/>
          <w:szCs w:val="24"/>
          <w:rtl w:val="0"/>
        </w:rPr>
        <w:t xml:space="preserve">Cotiviti should pursue three strategic positions. First, develop an agentic PA documentation quality scorer as a pre-submission tool for providers</w:t>
      </w:r>
      <w:r w:rsidDel="00000000" w:rsidR="00000000" w:rsidRPr="00000000">
        <w:rPr>
          <w:rtl w:val="0"/>
        </w:rPr>
        <w:t xml:space="preserve">. This can</w:t>
      </w:r>
      <w:r w:rsidDel="00000000" w:rsidR="00000000" w:rsidRPr="00000000">
        <w:rPr>
          <w:rFonts w:ascii="Times New Roman" w:cs="Times New Roman" w:eastAsia="Times New Roman" w:hAnsi="Times New Roman"/>
          <w:b w:val="0"/>
          <w:bCs w:val="0"/>
          <w:sz w:val="24"/>
          <w:szCs w:val="24"/>
          <w:rtl w:val="0"/>
        </w:rPr>
        <w:t xml:space="preserve"> </w:t>
      </w:r>
      <w:r w:rsidDel="00000000" w:rsidR="00000000" w:rsidRPr="00000000">
        <w:rPr>
          <w:rtl w:val="0"/>
        </w:rPr>
        <w:t xml:space="preserve">flag</w:t>
      </w:r>
      <w:r w:rsidDel="00000000" w:rsidR="00000000" w:rsidRPr="00000000">
        <w:rPr>
          <w:rFonts w:ascii="Times New Roman" w:cs="Times New Roman" w:eastAsia="Times New Roman" w:hAnsi="Times New Roman"/>
          <w:b w:val="0"/>
          <w:bCs w:val="0"/>
          <w:sz w:val="24"/>
          <w:szCs w:val="24"/>
          <w:rtl w:val="0"/>
        </w:rPr>
        <w:t xml:space="preserve"> incomplete step-therapy records, citation errors, and missing specialist clearances before a request reaches the payer's utilization management team. This positions Cotiviti as a neutral intermediary that improves decision quality for both parties. Second, build a payer-facing multi-stakeholder simulation product that generates structured advisory reports for PA committee review, preserving human decision authority while reducing per-case review time through AI-assisted pre-analysis. Third, invest in a HIPAA-compliant, private-cloud LLM deployment capability to eliminate data residency barriers and enable processing of member-level clinical records without third-party API exposure</w:t>
      </w:r>
      <w:r w:rsidDel="00000000" w:rsidR="00000000" w:rsidRPr="00000000">
        <w:rPr>
          <w:rtl w:val="0"/>
        </w:rPr>
        <w:t xml:space="preserve">,</w:t>
      </w:r>
      <w:r w:rsidDel="00000000" w:rsidR="00000000" w:rsidRPr="00000000">
        <w:rPr>
          <w:rFonts w:ascii="Times New Roman" w:cs="Times New Roman" w:eastAsia="Times New Roman" w:hAnsi="Times New Roman"/>
          <w:b w:val="0"/>
          <w:bCs w:val="0"/>
          <w:sz w:val="24"/>
          <w:szCs w:val="24"/>
          <w:rtl w:val="0"/>
        </w:rPr>
        <w:t xml:space="preserve"> a differentiator that enterprise payer clients will increasingly require as AI adoption matures in regulated healthcare environments.</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0" w:before="0" w:line="480" w:lineRule="auto"/>
        <w:jc w:val="center"/>
        <w:rPr/>
      </w:pPr>
      <w:r w:rsidDel="00000000" w:rsidR="00000000" w:rsidRPr="00000000">
        <w:rPr>
          <w:rFonts w:ascii="Times New Roman" w:cs="Times New Roman" w:eastAsia="Times New Roman" w:hAnsi="Times New Roman"/>
          <w:b w:val="1"/>
          <w:bCs w:val="1"/>
          <w:sz w:val="24"/>
          <w:szCs w:val="24"/>
          <w:rtl w:val="0"/>
        </w:rPr>
        <w:t xml:space="preserve">References</w:t>
      </w:r>
      <w:r w:rsidDel="00000000" w:rsidR="00000000" w:rsidRPr="00000000">
        <w:rPr>
          <w:rtl w:val="0"/>
        </w:rPr>
      </w:r>
    </w:p>
    <w:p w:rsidR="00000000" w:rsidDel="00000000" w:rsidP="00000000" w:rsidRDefault="00000000" w:rsidRPr="00000000" w14:paraId="00000017">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American Medical Association. (2024). 2024 AMA prior authorization physician survey. AMA. </w:t>
      </w:r>
      <w:hyperlink r:id="rId7">
        <w:r w:rsidDel="00000000" w:rsidR="00000000" w:rsidRPr="00000000">
          <w:rPr>
            <w:rFonts w:ascii="Times New Roman" w:cs="Times New Roman" w:eastAsia="Times New Roman" w:hAnsi="Times New Roman"/>
            <w:color w:val="1155cc"/>
            <w:sz w:val="20"/>
            <w:szCs w:val="20"/>
            <w:u w:val="single"/>
            <w:rtl w:val="0"/>
          </w:rPr>
          <w:t xml:space="preserve">https://fixpriorauth.org/2024-ama-prior-authorization-physician-survey</w:t>
        </w:r>
      </w:hyperlink>
      <w:r w:rsidDel="00000000" w:rsidR="00000000" w:rsidRPr="00000000">
        <w:rPr>
          <w:rtl w:val="0"/>
        </w:rPr>
      </w:r>
    </w:p>
    <w:p w:rsidR="00000000" w:rsidDel="00000000" w:rsidP="00000000" w:rsidRDefault="00000000" w:rsidRPr="00000000" w14:paraId="00000018">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Anthropic. (202</w:t>
      </w:r>
      <w:r w:rsidDel="00000000" w:rsidR="00000000" w:rsidRPr="00000000">
        <w:rPr>
          <w:sz w:val="20"/>
          <w:szCs w:val="20"/>
          <w:rtl w:val="0"/>
        </w:rPr>
        <w:t xml:space="preserve">6</w:t>
      </w:r>
      <w:r w:rsidDel="00000000" w:rsidR="00000000" w:rsidRPr="00000000">
        <w:rPr>
          <w:rFonts w:ascii="Times New Roman" w:cs="Times New Roman" w:eastAsia="Times New Roman" w:hAnsi="Times New Roman"/>
          <w:sz w:val="20"/>
          <w:szCs w:val="20"/>
          <w:rtl w:val="0"/>
        </w:rPr>
        <w:t xml:space="preserve">). Claude model specification. Anthropic. </w:t>
      </w:r>
      <w:hyperlink r:id="rId8">
        <w:r w:rsidDel="00000000" w:rsidR="00000000" w:rsidRPr="00000000">
          <w:rPr>
            <w:rFonts w:ascii="Times New Roman" w:cs="Times New Roman" w:eastAsia="Times New Roman" w:hAnsi="Times New Roman"/>
            <w:color w:val="1155cc"/>
            <w:sz w:val="20"/>
            <w:szCs w:val="20"/>
            <w:u w:val="single"/>
            <w:rtl w:val="0"/>
          </w:rPr>
          <w:t xml:space="preserve">https://anthropic.com</w:t>
        </w:r>
      </w:hyperlink>
      <w:r w:rsidDel="00000000" w:rsidR="00000000" w:rsidRPr="00000000">
        <w:rPr>
          <w:rtl w:val="0"/>
        </w:rPr>
      </w:r>
    </w:p>
    <w:p w:rsidR="00000000" w:rsidDel="00000000" w:rsidP="00000000" w:rsidRDefault="00000000" w:rsidRPr="00000000" w14:paraId="00000019">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Centers for Medicare &amp; Medicaid Services. (2024). Interoperability and prior authorization final rule (CMS-0057-F). CMS.gov. </w:t>
      </w:r>
      <w:hyperlink r:id="rId9">
        <w:r w:rsidDel="00000000" w:rsidR="00000000" w:rsidRPr="00000000">
          <w:rPr>
            <w:rFonts w:ascii="Times New Roman" w:cs="Times New Roman" w:eastAsia="Times New Roman" w:hAnsi="Times New Roman"/>
            <w:color w:val="1155cc"/>
            <w:sz w:val="20"/>
            <w:szCs w:val="20"/>
            <w:u w:val="single"/>
            <w:rtl w:val="0"/>
          </w:rPr>
          <w:t xml:space="preserve">https://www.cms.gov/regulations-and-guidance/regulations/finalrules</w:t>
        </w:r>
      </w:hyperlink>
      <w:r w:rsidDel="00000000" w:rsidR="00000000" w:rsidRPr="00000000">
        <w:rPr>
          <w:rtl w:val="0"/>
        </w:rPr>
      </w:r>
    </w:p>
    <w:p w:rsidR="00000000" w:rsidDel="00000000" w:rsidP="00000000" w:rsidRDefault="00000000" w:rsidRPr="00000000" w14:paraId="0000001A">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National Association of Insurance Commissioners. (2023). Prior authorization framework and recommendations. NAIC. </w:t>
      </w:r>
      <w:hyperlink r:id="rId10">
        <w:r w:rsidDel="00000000" w:rsidR="00000000" w:rsidRPr="00000000">
          <w:rPr>
            <w:rFonts w:ascii="Times New Roman" w:cs="Times New Roman" w:eastAsia="Times New Roman" w:hAnsi="Times New Roman"/>
            <w:color w:val="1155cc"/>
            <w:sz w:val="20"/>
            <w:szCs w:val="20"/>
            <w:u w:val="single"/>
            <w:rtl w:val="0"/>
          </w:rPr>
          <w:t xml:space="preserve">https://content.naic.org</w:t>
        </w:r>
      </w:hyperlink>
      <w:r w:rsidDel="00000000" w:rsidR="00000000" w:rsidRPr="00000000">
        <w:rPr>
          <w:rtl w:val="0"/>
        </w:rPr>
      </w:r>
    </w:p>
    <w:p w:rsidR="00000000" w:rsidDel="00000000" w:rsidP="00000000" w:rsidRDefault="00000000" w:rsidRPr="00000000" w14:paraId="0000001B">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Ouyang, L., Wu, J., Jiang, X., Almeida, D., Wainwright, C., Mishkin, P., Zhang, C., Agarwal, S., Slama, K., Ray, A., Schulman, J., Hilton, J., Kelton, F., Miller, L., Simens, M., Askell, A., Welinder, P., Christiano, P., Leike, J., &amp; Lowe, R. (2022). Training language models to follow instructions with human feedback. Advances in Neural Information Processing Systems, 35, 27730–27744.</w:t>
      </w:r>
      <w:r w:rsidDel="00000000" w:rsidR="00000000" w:rsidRPr="00000000">
        <w:rPr>
          <w:rtl w:val="0"/>
        </w:rPr>
      </w:r>
    </w:p>
    <w:p w:rsidR="00000000" w:rsidDel="00000000" w:rsidP="00000000" w:rsidRDefault="00000000" w:rsidRPr="00000000" w14:paraId="0000001C">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Park, J. S., O'Brien, J. C., Cai, C. J., Morris, M. R., Liang, P., &amp; Bernstein, M. S. (2023). Generative agents: Interactive simulacra of human behavior. In Proceedings of the 36th Annual ACM Symposium on User Interface Software and Technology (pp. 1–22). ACM.</w:t>
      </w:r>
      <w:r w:rsidDel="00000000" w:rsidR="00000000" w:rsidRPr="00000000">
        <w:rPr>
          <w:rtl w:val="0"/>
        </w:rPr>
      </w:r>
    </w:p>
    <w:p w:rsidR="00000000" w:rsidDel="00000000" w:rsidP="00000000" w:rsidRDefault="00000000" w:rsidRPr="00000000" w14:paraId="0000001D">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Wu, Q., Bansal, G., Zhang, J., Wu, Y., Li, B., Zhu, E., Jiang, L., Zhang, X., Zhang, S., Liu, J., Awadallah, A. H., White, R. W., Burger, D., &amp; Wang, C. (2023). AutoGen: Enabling next-generation LLM applications via multi-agent conversation. arXiv:2308.08155.</w:t>
      </w:r>
      <w:r w:rsidDel="00000000" w:rsidR="00000000" w:rsidRPr="00000000">
        <w:rPr>
          <w:rtl w:val="0"/>
        </w:rPr>
      </w:r>
    </w:p>
    <w:p w:rsidR="00000000" w:rsidDel="00000000" w:rsidP="00000000" w:rsidRDefault="00000000" w:rsidRPr="00000000" w14:paraId="0000001E">
      <w:pPr>
        <w:spacing w:after="0" w:before="0" w:line="480" w:lineRule="auto"/>
        <w:ind w:left="720" w:hanging="720"/>
        <w:rPr>
          <w:sz w:val="20"/>
          <w:szCs w:val="20"/>
        </w:rPr>
      </w:pPr>
      <w:r w:rsidDel="00000000" w:rsidR="00000000" w:rsidRPr="00000000">
        <w:rPr>
          <w:rFonts w:ascii="Times New Roman" w:cs="Times New Roman" w:eastAsia="Times New Roman" w:hAnsi="Times New Roman"/>
          <w:sz w:val="20"/>
          <w:szCs w:val="20"/>
          <w:rtl w:val="0"/>
        </w:rPr>
        <w:t xml:space="preserve">666ghj. (202</w:t>
      </w:r>
      <w:r w:rsidDel="00000000" w:rsidR="00000000" w:rsidRPr="00000000">
        <w:rPr>
          <w:sz w:val="20"/>
          <w:szCs w:val="20"/>
          <w:rtl w:val="0"/>
        </w:rPr>
        <w:t xml:space="preserve">6</w:t>
      </w:r>
      <w:r w:rsidDel="00000000" w:rsidR="00000000" w:rsidRPr="00000000">
        <w:rPr>
          <w:rFonts w:ascii="Times New Roman" w:cs="Times New Roman" w:eastAsia="Times New Roman" w:hAnsi="Times New Roman"/>
          <w:sz w:val="20"/>
          <w:szCs w:val="20"/>
          <w:rtl w:val="0"/>
        </w:rPr>
        <w:t xml:space="preserve">). MiroFish [Software]. GitHub. </w:t>
      </w:r>
      <w:hyperlink r:id="rId11">
        <w:r w:rsidDel="00000000" w:rsidR="00000000" w:rsidRPr="00000000">
          <w:rPr>
            <w:rFonts w:ascii="Times New Roman" w:cs="Times New Roman" w:eastAsia="Times New Roman" w:hAnsi="Times New Roman"/>
            <w:color w:val="1155cc"/>
            <w:sz w:val="20"/>
            <w:szCs w:val="20"/>
            <w:u w:val="single"/>
            <w:rtl w:val="0"/>
          </w:rPr>
          <w:t xml:space="preserve">https://github.com/666ghj/MiroFish</w:t>
        </w:r>
      </w:hyperlink>
      <w:r w:rsidDel="00000000" w:rsidR="00000000" w:rsidRPr="00000000">
        <w:rPr>
          <w:rtl w:val="0"/>
        </w:rPr>
      </w:r>
    </w:p>
    <w:p w:rsidR="00000000" w:rsidDel="00000000" w:rsidP="00000000" w:rsidRDefault="00000000" w:rsidRPr="00000000" w14:paraId="0000001F">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0">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1">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2">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3">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4">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5">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6">
      <w:pPr>
        <w:spacing w:after="0" w:before="0" w:line="480" w:lineRule="auto"/>
        <w:ind w:left="0" w:firstLine="0"/>
        <w:rPr>
          <w:sz w:val="20"/>
          <w:szCs w:val="20"/>
        </w:rPr>
      </w:pPr>
      <w:r w:rsidDel="00000000" w:rsidR="00000000" w:rsidRPr="00000000">
        <w:rPr>
          <w:rtl w:val="0"/>
        </w:rPr>
      </w:r>
    </w:p>
    <w:p w:rsidR="00000000" w:rsidDel="00000000" w:rsidP="00000000" w:rsidRDefault="00000000" w:rsidRPr="00000000" w14:paraId="00000027">
      <w:pPr>
        <w:spacing w:after="0" w:before="0" w:line="480" w:lineRule="auto"/>
        <w:ind w:left="0" w:firstLine="0"/>
        <w:rPr>
          <w:i w:val="1"/>
          <w:iCs w:val="1"/>
          <w:sz w:val="20"/>
          <w:szCs w:val="20"/>
        </w:rPr>
      </w:pPr>
      <w:r w:rsidDel="00000000" w:rsidR="00000000" w:rsidRPr="00000000">
        <w:rPr>
          <w:i w:val="1"/>
          <w:iCs w:val="1"/>
          <w:sz w:val="20"/>
          <w:szCs w:val="20"/>
          <w:rtl w:val="0"/>
        </w:rPr>
        <w:t xml:space="preserve">Research and drafting assisted by Claude Sonnet 4.6 (Anthropic, 2026). Primary sources verified independently</w:t>
      </w:r>
      <w:r w:rsidDel="00000000" w:rsidR="00000000" w:rsidRPr="00000000">
        <w:rPr>
          <w:rtl w:val="0"/>
        </w:rPr>
      </w:r>
    </w:p>
    <w:sectPr>
      <w:headerReference r:id="rId12" w:type="default"/>
      <w:footerReference r:id="rId13"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9">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 w:val="right" w:leader="none" w:pos="936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AGENTIC AI FOR CLINICAL DECISION MAKING</w:t>
      <w:tab/>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666ghj/MiroFish" TargetMode="External"/><Relationship Id="rId10" Type="http://schemas.openxmlformats.org/officeDocument/2006/relationships/hyperlink" Target="https://content.naic.org"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cms.gov/regulations-and-guidance/regulations/finalrul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fixpriorauth.org/2024-ama-prior-authorization-physician-survey" TargetMode="External"/><Relationship Id="rId8" Type="http://schemas.openxmlformats.org/officeDocument/2006/relationships/hyperlink" Target="https://anthropic.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adzOnMGFjE+asxFg54UmNJdT38g==">CgMxLjA4AHIhMWhRcS1haDNVUk15a3FhREVYN0pPb0ZkOTRuNnA3QmtN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