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93a5fa2919ae84fd075e135720c313fd6a0a0c8"/>
      <w:r>
        <w:t xml:space="preserve">Chapter 13: Consciousness and the Zone Interface</w:t>
      </w:r>
      <w:bookmarkEnd w:id="20"/>
    </w:p>
    <w:p>
      <w:r>
        <w:pict>
          <v:rect style="width:0;height:1.5pt" o:hralign="center" o:hrstd="t" o:hr="t"/>
        </w:pict>
      </w:r>
    </w:p>
    <w:p>
      <w:pPr>
        <w:pStyle w:val="Heading2"/>
      </w:pPr>
      <w:bookmarkStart w:id="21" w:name="why-a-dedicated-chapter-on-consciousness"/>
      <w:r>
        <w:t xml:space="preserve">13.1 Why a Dedicated Chapter on Consciousness</w:t>
      </w:r>
      <w:bookmarkEnd w:id="21"/>
    </w:p>
    <w:p>
      <w:pPr>
        <w:pStyle w:val="FirstParagraph"/>
      </w:pPr>
      <w:r>
        <w:t xml:space="preserve">Three times in this volume we have referred to consciousness without ever defining it. In Chapter 9 §9.6 consciousness was the fifth FTL mechanism — a way of moving information, though not matter, faster than light via an atemporal Zone 1. In Chapter 11 §11.5 the same mechanism became a communication channel, complete with caveats about controllability and an upper bound on information capacity set by the Zone 1 holographic area. In Chapter 12 §12.5 we used it again, this time as the theoretical ground for an orbital life-detection biosignature that distinguishes biological mass from sterile chemistry. Each of those applications treated the consciousness framework as a black box: a composite wavefunction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with the spirit component living in the atemporal domain, and specific engineering consequences following from that structural commitment.</w:t>
      </w:r>
    </w:p>
    <w:p>
      <w:pPr>
        <w:pStyle w:val="BodyText"/>
      </w:pPr>
      <w:r>
        <w:t xml:space="preserve">A reader who has accepted all three applications without seeing the foundation has been accepting on credit. The bill comes due in this chapter.</w:t>
      </w:r>
    </w:p>
    <w:p>
      <w:pPr>
        <w:pStyle w:val="BodyText"/>
      </w:pPr>
      <w:r>
        <w:t xml:space="preserve">The chapter’s job is to state what the zone architecture actually implies about consciousness — no more, no less. That is a narrower task than it sounds. The framework does not explain consciousness; it does not solve the hard problem of how subjective experience arises from physical processes; it does not adjudicate between rival theories of mind. What it does is specify an architecture within which certain structural features of consciousness, if the framework is correct about the geometry of the universe, must also be present. The claim is not</w:t>
      </w:r>
      <w:r>
        <w:t xml:space="preserve"> </w:t>
      </w:r>
      <w:r>
        <w:t xml:space="preserve">“</w:t>
      </w:r>
      <w:r>
        <w:t xml:space="preserve">we have explained consciousness.</w:t>
      </w:r>
      <w:r>
        <w:t xml:space="preserve">”</w:t>
      </w:r>
      <w:r>
        <w:t xml:space="preserve"> </w:t>
      </w:r>
      <w:r>
        <w:t xml:space="preserve">The claim is</w:t>
      </w:r>
      <w:r>
        <w:t xml:space="preserve"> </w:t>
      </w:r>
      <w:r>
        <w:t xml:space="preserve">“</w:t>
      </w:r>
      <w:r>
        <w:t xml:space="preserve">if consciousness has a non-brane component, here is where that component lives and what properties it has.</w:t>
      </w:r>
      <w:r>
        <w:t xml:space="preserve">”</w:t>
      </w:r>
    </w:p>
    <w:p>
      <w:pPr>
        <w:pStyle w:val="BodyText"/>
      </w:pPr>
      <w:r>
        <w:t xml:space="preserve">We will be disciplined about four temptations. Each of them has sunk more than one well-meaning physics-of-consciousness program, and each of them will be actively resisted throughout this chapter.</w:t>
      </w:r>
    </w:p>
    <w:p>
      <w:pPr>
        <w:pStyle w:val="BodyText"/>
      </w:pPr>
      <w:r>
        <w:t xml:space="preserve">The first temptation is</w:t>
      </w:r>
      <w:r>
        <w:t xml:space="preserve"> </w:t>
      </w:r>
      <w:r>
        <w:rPr>
          <w:b/>
        </w:rPr>
        <w:t xml:space="preserve">preaching</w:t>
      </w:r>
      <w:r>
        <w:t xml:space="preserve">. The framework sits close to theological categories: Zone 1 is atemporal, Riemannian, and coupled to consciousness through a component called</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The resemblance to classical theological accounts of God’s eternity, the immateriality of the soul, and the structure of created persons is real. It is also beside the point of this chapter. We are doing physics. Physics can be motivated by theological intuition without being determined by it; that distinction has held through twelve prior volumes in this series and will hold here. Where the framework’s mathematical properties are consistent with theological readings, we will say so. Where they cross over into theological claims, we will stop and mark the crossing.</w:t>
      </w:r>
    </w:p>
    <w:p>
      <w:pPr>
        <w:pStyle w:val="BodyText"/>
      </w:pPr>
      <w:r>
        <w:t xml:space="preserve">The second temptation is</w:t>
      </w:r>
      <w:r>
        <w:t xml:space="preserve"> </w:t>
      </w:r>
      <w:r>
        <w:rPr>
          <w:b/>
        </w:rPr>
        <w:t xml:space="preserve">mysticism</w:t>
      </w:r>
      <w:r>
        <w:t xml:space="preserve">. The consciousness interface is the framework’s most speculative prediction; the word</w:t>
      </w:r>
      <w:r>
        <w:t xml:space="preserve"> </w:t>
      </w:r>
      <w:r>
        <w:t xml:space="preserve">“</w:t>
      </w:r>
      <w:r>
        <w:t xml:space="preserve">spirit</w:t>
      </w:r>
      <w:r>
        <w:t xml:space="preserve">”</w:t>
      </w:r>
      <w:r>
        <w:t xml:space="preserve"> </w:t>
      </w:r>
      <w:r>
        <w:t xml:space="preserve">appears in the factorization; Zone 1 has no time. Any reader who wants to read this material as a confirmation of a particular spiritual worldview will find footholds in every section. We will not provide them. A framework that functions only for readers who already believe it is not a framework; it is a vocabulary. The chapter states what the math requires and leaves the rest alone.</w:t>
      </w:r>
    </w:p>
    <w:p>
      <w:pPr>
        <w:pStyle w:val="BodyText"/>
      </w:pPr>
      <w:r>
        <w:t xml:space="preserve">The third temptation is the oldest and most persistent in the quantum-consciousness literature: the claim that</w:t>
      </w:r>
      <w:r>
        <w:t xml:space="preserve"> </w:t>
      </w:r>
      <w:r>
        <w:rPr>
          <w:b/>
        </w:rPr>
        <w:t xml:space="preserve">consciousness collapses the wavefunction</w:t>
      </w:r>
      <w:r>
        <w:t xml:space="preserve">. It does not, at least not in this framework. Volume 4 Chapter 5 resolved the measurement problem via decoherence — the environment (the Waters fields, in our zone language) entangles with the system, the reduced density matrix becomes effectively classical, and no collapse occurs. The Wigner–von Neumann proposal that consciousness is the agent of measurement outcome is a different, older hypothesis that this framework explicitly does not adopt. We will restate this clearly in §13.2 so that the claim in §13.3 — that consciousness has a Zone 1 component — cannot be confused with the claim that consciousness</w:t>
      </w:r>
      <w:r>
        <w:t xml:space="preserve"> </w:t>
      </w:r>
      <w:r>
        <w:rPr>
          <w:i/>
        </w:rPr>
        <w:t xml:space="preserve">causes</w:t>
      </w:r>
      <w:r>
        <w:t xml:space="preserve"> </w:t>
      </w:r>
      <w:r>
        <w:t xml:space="preserve">measurement. In our framework, consciousness arrives</w:t>
      </w:r>
      <w:r>
        <w:t xml:space="preserve"> </w:t>
      </w:r>
      <w:r>
        <w:rPr>
          <w:i/>
        </w:rPr>
        <w:t xml:space="preserve">after</w:t>
      </w:r>
      <w:r>
        <w:t xml:space="preserve"> </w:t>
      </w:r>
      <w:r>
        <w:t xml:space="preserve">measurement, as one among many macroscopic processes downstream of a decohered state.</w:t>
      </w:r>
    </w:p>
    <w:p>
      <w:pPr>
        <w:pStyle w:val="BodyText"/>
      </w:pPr>
      <w:r>
        <w:t xml:space="preserve">The fourth temptation is what we will call</w:t>
      </w:r>
      <w:r>
        <w:t xml:space="preserve"> </w:t>
      </w:r>
      <w:r>
        <w:rPr>
          <w:b/>
        </w:rPr>
        <w:t xml:space="preserve">scientizing the supernatural</w:t>
      </w:r>
      <w:r>
        <w:t xml:space="preserve">. Having established that Zone 1 is atemporal and that the framework permits a</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field with certain properties, the move from</w:t>
      </w:r>
      <w:r>
        <w:t xml:space="preserve"> </w:t>
      </w:r>
      <w:r>
        <w:t xml:space="preserve">“</w:t>
      </w:r>
      <w:r>
        <w:t xml:space="preserve">the math is consistent with X</w:t>
      </w:r>
      <w:r>
        <w:t xml:space="preserve">”</w:t>
      </w:r>
      <w:r>
        <w:t xml:space="preserve"> </w:t>
      </w:r>
      <w:r>
        <w:t xml:space="preserve">to</w:t>
      </w:r>
      <w:r>
        <w:t xml:space="preserve"> </w:t>
      </w:r>
      <w:r>
        <w:t xml:space="preserve">“</w:t>
      </w:r>
      <w:r>
        <w:t xml:space="preserve">the math proves X</w:t>
      </w:r>
      <w:r>
        <w:t xml:space="preserve">”</w:t>
      </w:r>
      <w:r>
        <w:t xml:space="preserve"> </w:t>
      </w:r>
      <w:r>
        <w:t xml:space="preserve">is seductive and, in the history of theology-adjacent physics, nearly always fatal. We will use the word</w:t>
      </w:r>
      <w:r>
        <w:t xml:space="preserve"> </w:t>
      </w:r>
      <w:r>
        <w:t xml:space="preserve">“</w:t>
      </w:r>
      <w:r>
        <w:t xml:space="preserve">consistent with</w:t>
      </w:r>
      <w:r>
        <w:t xml:space="preserve">”</w:t>
      </w:r>
      <w:r>
        <w:t xml:space="preserve"> </w:t>
      </w:r>
      <w:r>
        <w:t xml:space="preserve">carefully. Consistency is much weaker than derivation, and the chapter preserves the distinction.</w:t>
      </w:r>
    </w:p>
    <w:p>
      <w:pPr>
        <w:pStyle w:val="BodyText"/>
      </w:pPr>
      <w:r>
        <w:t xml:space="preserve">With those four temptations named and set aside, we turn to what the chapter will deliver:</w:t>
      </w:r>
    </w:p>
    <w:p>
      <w:pPr>
        <w:numPr>
          <w:ilvl w:val="0"/>
          <w:numId w:val="1001"/>
        </w:numPr>
        <w:pStyle w:val="Compact"/>
      </w:pPr>
      <w:r>
        <w:rPr>
          <w:b/>
        </w:rPr>
        <w:t xml:space="preserve">§13.2</w:t>
      </w:r>
      <w:r>
        <w:t xml:space="preserve"> </w:t>
      </w:r>
      <w:r>
        <w:t xml:space="preserve">recaps the measurement problem from Vol. 4 Ch. 5 and states explicitly why consciousness does not play a causal role in measurement in this framework.</w:t>
      </w:r>
    </w:p>
    <w:p>
      <w:pPr>
        <w:numPr>
          <w:ilvl w:val="0"/>
          <w:numId w:val="1001"/>
        </w:numPr>
        <w:pStyle w:val="Compact"/>
      </w:pPr>
      <w:r>
        <w:rPr>
          <w:b/>
        </w:rPr>
        <w:t xml:space="preserve">§13.3</w:t>
      </w:r>
      <w:r>
        <w:t xml:space="preserve"> </w:t>
      </w:r>
      <w:r>
        <w:t xml:space="preserve">states the theoretical framework</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with full notation, Zone 1 geometry, and the identification the framework commits to (and the three readings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it does not choose between).</w:t>
      </w:r>
    </w:p>
    <w:p>
      <w:pPr>
        <w:numPr>
          <w:ilvl w:val="0"/>
          <w:numId w:val="1001"/>
        </w:numPr>
        <w:pStyle w:val="Compact"/>
      </w:pPr>
      <w:r>
        <w:rPr>
          <w:b/>
        </w:rPr>
        <w:t xml:space="preserve">§13.4</w:t>
      </w:r>
      <w:r>
        <w:t xml:space="preserve"> </w:t>
      </w:r>
      <w:r>
        <w:t xml:space="preserve">distinguishes what the math implies from what it does not imply. The negative list is longer than the positive list.</w:t>
      </w:r>
    </w:p>
    <w:p>
      <w:pPr>
        <w:numPr>
          <w:ilvl w:val="0"/>
          <w:numId w:val="1001"/>
        </w:numPr>
        <w:pStyle w:val="Compact"/>
      </w:pPr>
      <w:r>
        <w:rPr>
          <w:b/>
        </w:rPr>
        <w:t xml:space="preserve">§13.5</w:t>
      </w:r>
      <w:r>
        <w:t xml:space="preserve"> </w:t>
      </w:r>
      <w:r>
        <w:t xml:space="preserve">produces ten testable predictions (P-154 through P-163) with falsification thresholds.</w:t>
      </w:r>
    </w:p>
    <w:p>
      <w:pPr>
        <w:numPr>
          <w:ilvl w:val="0"/>
          <w:numId w:val="1001"/>
        </w:numPr>
        <w:pStyle w:val="Compact"/>
      </w:pPr>
      <w:r>
        <w:rPr>
          <w:b/>
        </w:rPr>
        <w:t xml:space="preserve">§13.6</w:t>
      </w:r>
      <w:r>
        <w:t xml:space="preserve"> </w:t>
      </w:r>
      <w:r>
        <w:t xml:space="preserve">shows explicitly that the theoretical foundation stated here is load-bearing for Ch. 9, 11, and 12 — a falsification at §13.5 would ripple through the applications.</w:t>
      </w:r>
    </w:p>
    <w:p>
      <w:pPr>
        <w:numPr>
          <w:ilvl w:val="0"/>
          <w:numId w:val="1001"/>
        </w:numPr>
        <w:pStyle w:val="Compact"/>
      </w:pPr>
      <w:r>
        <w:rPr>
          <w:b/>
        </w:rPr>
        <w:t xml:space="preserve">§13.7</w:t>
      </w:r>
      <w:r>
        <w:t xml:space="preserve"> </w:t>
      </w:r>
      <w:r>
        <w:t xml:space="preserve">states the phenomenology gap — the chapter does not derive subjective experience and is honest that it does not.</w:t>
      </w:r>
    </w:p>
    <w:p>
      <w:pPr>
        <w:numPr>
          <w:ilvl w:val="0"/>
          <w:numId w:val="1001"/>
        </w:numPr>
        <w:pStyle w:val="Compact"/>
      </w:pPr>
      <w:r>
        <w:rPr>
          <w:b/>
        </w:rPr>
        <w:t xml:space="preserve">§13.8</w:t>
      </w:r>
      <w:r>
        <w:t xml:space="preserve"> </w:t>
      </w:r>
      <w:r>
        <w:t xml:space="preserve">addresses theological proximity with the framework’s long-standing discipline.</w:t>
      </w:r>
    </w:p>
    <w:p>
      <w:pPr>
        <w:numPr>
          <w:ilvl w:val="0"/>
          <w:numId w:val="1001"/>
        </w:numPr>
        <w:pStyle w:val="Compact"/>
      </w:pPr>
      <w:r>
        <w:rPr>
          <w:b/>
        </w:rPr>
        <w:t xml:space="preserve">§13.9</w:t>
      </w:r>
      <w:r>
        <w:t xml:space="preserve"> </w:t>
      </w:r>
      <w:r>
        <w:t xml:space="preserve">lists eight open problems as thesis-buildable research invitations.</w:t>
      </w:r>
    </w:p>
    <w:p>
      <w:pPr>
        <w:numPr>
          <w:ilvl w:val="0"/>
          <w:numId w:val="1001"/>
        </w:numPr>
        <w:pStyle w:val="Compact"/>
      </w:pPr>
      <w:r>
        <w:rPr>
          <w:b/>
        </w:rPr>
        <w:t xml:space="preserve">§13.10</w:t>
      </w:r>
      <w:r>
        <w:t xml:space="preserve"> </w:t>
      </w:r>
      <w:r>
        <w:t xml:space="preserve">consolidates predictions and hands off to Chapter 14.</w:t>
      </w:r>
    </w:p>
    <w:p>
      <w:pPr>
        <w:pStyle w:val="FirstParagraph"/>
      </w:pPr>
      <w:r>
        <w:t xml:space="preserve">The chapter is shorter than Chapters 9, 10, 11, and 12. That is by design. Speculative material needs discipline more than it needs scale. We have 20 to 30 pages to state what the framework actually claims about consciousness, and that is precisely what we will use.</w:t>
      </w:r>
    </w:p>
    <w:p>
      <w:pPr>
        <w:pStyle w:val="BodyText"/>
      </w:pPr>
      <w:r>
        <w:t xml:space="preserve">A final word on what this chapter is</w:t>
      </w:r>
      <w:r>
        <w:t xml:space="preserve"> </w:t>
      </w:r>
      <w:r>
        <w:rPr>
          <w:i/>
        </w:rPr>
        <w:t xml:space="preserve">not</w:t>
      </w:r>
      <w:r>
        <w:t xml:space="preserve"> </w:t>
      </w:r>
      <w:r>
        <w:t xml:space="preserve">for. It is not an argument that the framework’s consciousness model is correct. It is not an argument against rival theories of consciousness. It is not a devotional or apologetic. It is a statement of the theoretical commitment that Ch. 9, 11, and 12 have already been making, brought into the open so that a reader — any reader, skeptical or sympathetic — can see what has been assumed, what follows from the assumption, and what remains to be tested.</w:t>
      </w:r>
    </w:p>
    <w:p>
      <w:pPr>
        <w:pStyle w:val="BodyText"/>
      </w:pPr>
      <w:r>
        <w:t xml:space="preserve">[FIGURE: Fig 6.13.4 — Cross-Chapter Consciousness Dependencies. Flowchart with Ch 13 §13.3 (Theoretical Framework) in the center. Arrows point outward to Ch 9 §9.6 (FTL Mechanism 5), Ch 11 §11.5 (Communication Channel 4), Ch 12 §12.5 (Life Detection). Under each downstream application, a small label shows what it imports from Ch 13: Ch 9 imports</w:t>
      </w:r>
      <w:r>
        <w:t xml:space="preserve"> </w:t>
      </w:r>
      <w:r>
        <w:t xml:space="preserve">“</w:t>
      </w:r>
      <w:r>
        <w:t xml:space="preserve">factorization + information-only</w:t>
      </w:r>
      <w:r>
        <w:t xml:space="preserve">”</w:t>
      </w:r>
      <w:r>
        <w:t xml:space="preserve">; Ch 11 imports</w:t>
      </w:r>
      <w:r>
        <w:t xml:space="preserve"> </w:t>
      </w:r>
      <w:r>
        <w:t xml:space="preserve">“</w:t>
      </w:r>
      <w:r>
        <w:t xml:space="preserve">factorization + controllability + Zone 1 holographic bound</w:t>
      </w:r>
      <w:r>
        <w:t xml:space="preserve">”</w:t>
      </w:r>
      <w:r>
        <w:t xml:space="preserve">; Ch 12 imports</w:t>
      </w:r>
      <w:r>
        <w:t xml:space="preserve"> </w:t>
      </w:r>
      <w:r>
        <w:t xml:space="preserve">“</w:t>
      </w:r>
      <w:r>
        <w:t xml:space="preserve">factorization + sustaining-coupling + biological-mass dependence.</w:t>
      </w:r>
      <w:r>
        <w:t xml:space="preserve">”</w:t>
      </w:r>
      <w:r>
        <w:t xml:space="preserve"> </w:t>
      </w:r>
      <w:r>
        <w:t xml:space="preserve">A note at the bottom reads:</w:t>
      </w:r>
      <w:r>
        <w:t xml:space="preserve"> </w:t>
      </w:r>
      <w:r>
        <w:t xml:space="preserve">“</w:t>
      </w:r>
      <w:r>
        <w:t xml:space="preserve">A falsification of Ch 13’s predictions (§13.5) ripples through all three downstream chapters.</w:t>
      </w:r>
      <w:r>
        <w:t xml:space="preserve">”</w:t>
      </w:r>
      <w:r>
        <w:t xml:space="preserve">]</w:t>
      </w:r>
    </w:p>
    <w:p>
      <w:r>
        <w:pict>
          <v:rect style="width:0;height:1.5pt" o:hralign="center" o:hrstd="t" o:hr="t"/>
        </w:pict>
      </w:r>
    </w:p>
    <w:p>
      <w:pPr>
        <w:pStyle w:val="Heading2"/>
      </w:pPr>
      <w:bookmarkStart w:id="22" w:name="X24aa40b17cd3ae44775a7c73d957b2b3ade408a"/>
      <w:r>
        <w:t xml:space="preserve">13.2 The Measurement Problem, Revisited — Consciousness Does Not Collapse the Wavefunction</w:t>
      </w:r>
      <w:bookmarkEnd w:id="22"/>
    </w:p>
    <w:p>
      <w:pPr>
        <w:pStyle w:val="FirstParagraph"/>
      </w:pPr>
      <w:r>
        <w:t xml:space="preserve">Before we can state what the framework does say about consciousness, we need to state clearly what it does</w:t>
      </w:r>
      <w:r>
        <w:t xml:space="preserve"> </w:t>
      </w:r>
      <w:r>
        <w:rPr>
          <w:i/>
        </w:rPr>
        <w:t xml:space="preserve">not</w:t>
      </w:r>
      <w:r>
        <w:t xml:space="preserve"> </w:t>
      </w:r>
      <w:r>
        <w:t xml:space="preserve">say. The most persistent misreading of every physics-of-consciousness program in the last century has been the claim that conscious observers cause wavefunction collapse. It is a claim with a long pedigree (Wigner 1961; von Neumann 1932) and a habit of resurfacing whenever a new framework mentions both the word</w:t>
      </w:r>
      <w:r>
        <w:t xml:space="preserve"> </w:t>
      </w:r>
      <w:r>
        <w:t xml:space="preserve">“</w:t>
      </w:r>
      <w:r>
        <w:t xml:space="preserve">consciousness</w:t>
      </w:r>
      <w:r>
        <w:t xml:space="preserve">”</w:t>
      </w:r>
      <w:r>
        <w:t xml:space="preserve"> </w:t>
      </w:r>
      <w:r>
        <w:t xml:space="preserve">and the word</w:t>
      </w:r>
      <w:r>
        <w:t xml:space="preserve"> </w:t>
      </w:r>
      <w:r>
        <w:t xml:space="preserve">“</w:t>
      </w:r>
      <w:r>
        <w:t xml:space="preserve">quantum.</w:t>
      </w:r>
      <w:r>
        <w:t xml:space="preserve">”</w:t>
      </w:r>
      <w:r>
        <w:t xml:space="preserve"> </w:t>
      </w:r>
      <w:r>
        <w:t xml:space="preserve">Every such framework has to state, once and for all, whether it endorses that claim or not.</w:t>
      </w:r>
    </w:p>
    <w:p>
      <w:pPr>
        <w:pStyle w:val="BodyText"/>
      </w:pPr>
      <w:r>
        <w:t xml:space="preserve">This framework does not.</w:t>
      </w:r>
    </w:p>
    <w:p>
      <w:pPr>
        <w:pStyle w:val="BodyText"/>
      </w:pPr>
      <w:r>
        <w:t xml:space="preserve">Volume 4 Chapter 5 resolved the measurement problem without invoking consciousness at all. The resolution is worth stating again here, because the remainder of this chapter depends on not being confused with it.</w:t>
      </w:r>
    </w:p>
    <w:p>
      <w:pPr>
        <w:pStyle w:val="BodyText"/>
      </w:pPr>
      <w:r>
        <w:rPr>
          <w:b/>
        </w:rPr>
        <w:t xml:space="preserve">The problem.</w:t>
      </w:r>
      <w:r>
        <w:t xml:space="preserve"> </w:t>
      </w:r>
      <w:r>
        <w:t xml:space="preserve">Standard quantum mechanics presents a puzzle: a system in superposition</w:t>
      </w:r>
      <w:r>
        <w:t xml:space="preserve"> </w:t>
      </w:r>
      <m:oMath>
        <m:r>
          <m:t>|</m:t>
        </m:r>
        <m:r>
          <m:t>Ψ</m:t>
        </m:r>
        <m:r>
          <m:t>⟩</m:t>
        </m:r>
        <m:r>
          <m:t>=</m:t>
        </m:r>
        <m:sSub>
          <m:e>
            <m:r>
              <m:t>c</m:t>
            </m:r>
          </m:e>
          <m:sub>
            <m:r>
              <m:t>1</m:t>
            </m:r>
          </m:sub>
        </m:sSub>
        <m:r>
          <m:t>|</m:t>
        </m:r>
        <m:sSub>
          <m:e>
            <m:r>
              <m:t>ψ</m:t>
            </m:r>
          </m:e>
          <m:sub>
            <m:r>
              <m:t>1</m:t>
            </m:r>
          </m:sub>
        </m:sSub>
        <m:r>
          <m:t>⟩</m:t>
        </m:r>
        <m:r>
          <m:t>+</m:t>
        </m:r>
        <m:sSub>
          <m:e>
            <m:r>
              <m:t>c</m:t>
            </m:r>
          </m:e>
          <m:sub>
            <m:r>
              <m:t>2</m:t>
            </m:r>
          </m:sub>
        </m:sSub>
        <m:r>
          <m:t>|</m:t>
        </m:r>
        <m:sSub>
          <m:e>
            <m:r>
              <m:t>ψ</m:t>
            </m:r>
          </m:e>
          <m:sub>
            <m:r>
              <m:t>2</m:t>
            </m:r>
          </m:sub>
        </m:sSub>
        <m:r>
          <m:t>⟩</m:t>
        </m:r>
      </m:oMath>
      <w:r>
        <w:t xml:space="preserve"> </w:t>
      </w:r>
      <w:r>
        <w:t xml:space="preserve">evolves by the Schrödinger equation (deterministic, unitary) and is found, at measurement, in one of the basis states</w:t>
      </w:r>
      <w:r>
        <w:t xml:space="preserve"> </w:t>
      </w:r>
      <m:oMath>
        <m:r>
          <m:t>|</m:t>
        </m:r>
        <m:sSub>
          <m:e>
            <m:r>
              <m:t>ψ</m:t>
            </m:r>
          </m:e>
          <m:sub>
            <m:r>
              <m:t>i</m:t>
            </m:r>
          </m:sub>
        </m:sSub>
        <m:r>
          <m:t>⟩</m:t>
        </m:r>
      </m:oMath>
      <w:r>
        <w:t xml:space="preserve"> </w:t>
      </w:r>
      <w:r>
        <w:t xml:space="preserve">with probability</w:t>
      </w:r>
      <w:r>
        <w:t xml:space="preserve"> </w:t>
      </w:r>
      <m:oMath>
        <m:r>
          <m:t>|</m:t>
        </m:r>
        <m:sSub>
          <m:e>
            <m:r>
              <m:t>c</m:t>
            </m:r>
          </m:e>
          <m:sub>
            <m:r>
              <m:t>i</m:t>
            </m:r>
          </m:sub>
        </m:sSub>
        <m:sSup>
          <m:e>
            <m:r>
              <m:t>|</m:t>
            </m:r>
          </m:e>
          <m:sup>
            <m:r>
              <m:t>2</m:t>
            </m:r>
          </m:sup>
        </m:sSup>
      </m:oMath>
      <w:r>
        <w:t xml:space="preserve"> </w:t>
      </w:r>
      <w:r>
        <w:t xml:space="preserve">(stochastic, non-unitary). The</w:t>
      </w:r>
      <w:r>
        <w:t xml:space="preserve"> </w:t>
      </w:r>
      <w:r>
        <w:t xml:space="preserve">“</w:t>
      </w:r>
      <w:r>
        <w:t xml:space="preserve">collapse</w:t>
      </w:r>
      <w:r>
        <w:t xml:space="preserve">”</w:t>
      </w:r>
      <w:r>
        <w:t xml:space="preserve"> </w:t>
      </w:r>
      <w:r>
        <w:t xml:space="preserve">is the gap between the two. For decades, physicists debated what fills the gap: the Copenhagen interpretation blamed the apparatus without specifying it; the many-worlds interpretation said no collapse ever occurs; the GRW family of models modified the Schrödinger equation itself. And one persistent proposal — von Neumann’s and Wigner’s — placed the collapse at the moment a conscious observer perceives the outcome.</w:t>
      </w:r>
    </w:p>
    <w:p>
      <w:pPr>
        <w:pStyle w:val="BodyText"/>
      </w:pPr>
      <w:r>
        <w:rPr>
          <w:b/>
        </w:rPr>
        <w:t xml:space="preserve">The zone-architecture resolution.</w:t>
      </w:r>
      <w:r>
        <w:t xml:space="preserve"> </w:t>
      </w:r>
      <w:r>
        <w:t xml:space="preserve">In the framework we have built, measurement is decoherence. When a system in superposition couples to an apparatus (itself a macroscopic system on the brane), the system-plus-apparatus state becomes entangled:</w:t>
      </w:r>
    </w:p>
    <w:p>
      <w:pPr>
        <w:pStyle w:val="BodyText"/>
      </w:pPr>
      <m:oMathPara>
        <m:oMathParaPr>
          <m:jc m:val="center"/>
        </m:oMathParaPr>
        <m:oMath>
          <m:r>
            <m:t>|</m:t>
          </m:r>
          <m:sSub>
            <m:e>
              <m:r>
                <m:t>Ψ</m:t>
              </m:r>
            </m:e>
            <m:sub>
              <m:r>
                <m:t>S</m:t>
              </m:r>
              <m:r>
                <m:t>A</m:t>
              </m:r>
            </m:sub>
          </m:sSub>
          <m:r>
            <m:t>⟩</m:t>
          </m:r>
          <m:r>
            <m:t>=</m:t>
          </m:r>
          <m:sSub>
            <m:e>
              <m:r>
                <m:t>c</m:t>
              </m:r>
            </m:e>
            <m:sub>
              <m:r>
                <m:t>1</m:t>
              </m:r>
            </m:sub>
          </m:sSub>
          <m:r>
            <m:t>|</m:t>
          </m:r>
          <m:sSub>
            <m:e>
              <m:r>
                <m:t>ψ</m:t>
              </m:r>
            </m:e>
            <m:sub>
              <m:r>
                <m:t>1</m:t>
              </m:r>
            </m:sub>
          </m:sSub>
          <m:r>
            <m:t>⟩</m:t>
          </m:r>
          <m:r>
            <m:t>|</m:t>
          </m:r>
          <m:sSub>
            <m:e>
              <m:r>
                <m:rPr>
                  <m:sty m:val="p"/>
                </m:rPr>
                <m:t>O</m:t>
              </m:r>
              <m:r>
                <m:rPr>
                  <m:sty m:val="p"/>
                </m:rPr>
                <m:t>b</m:t>
              </m:r>
              <m:r>
                <m:rPr>
                  <m:sty m:val="p"/>
                </m:rPr>
                <m:t>s</m:t>
              </m:r>
            </m:e>
            <m:sub>
              <m:r>
                <m:t>1</m:t>
              </m:r>
            </m:sub>
          </m:sSub>
          <m:r>
            <m:t>⟩</m:t>
          </m:r>
          <m:r>
            <m:t>+</m:t>
          </m:r>
          <m:sSub>
            <m:e>
              <m:r>
                <m:t>c</m:t>
              </m:r>
            </m:e>
            <m:sub>
              <m:r>
                <m:t>2</m:t>
              </m:r>
            </m:sub>
          </m:sSub>
          <m:r>
            <m:t>|</m:t>
          </m:r>
          <m:sSub>
            <m:e>
              <m:r>
                <m:t>ψ</m:t>
              </m:r>
            </m:e>
            <m:sub>
              <m:r>
                <m:t>2</m:t>
              </m:r>
            </m:sub>
          </m:sSub>
          <m:r>
            <m:t>⟩</m:t>
          </m:r>
          <m:r>
            <m:t>|</m:t>
          </m:r>
          <m:sSub>
            <m:e>
              <m:r>
                <m:rPr>
                  <m:sty m:val="p"/>
                </m:rPr>
                <m:t>O</m:t>
              </m:r>
              <m:r>
                <m:rPr>
                  <m:sty m:val="p"/>
                </m:rPr>
                <m:t>b</m:t>
              </m:r>
              <m:r>
                <m:rPr>
                  <m:sty m:val="p"/>
                </m:rPr>
                <m:t>s</m:t>
              </m:r>
            </m:e>
            <m:sub>
              <m:r>
                <m:t>2</m:t>
              </m:r>
            </m:sub>
          </m:sSub>
          <m:r>
            <m:t>⟩</m:t>
          </m:r>
          <m:r>
            <m:t>.</m:t>
          </m:r>
          <m:r>
            <m:t> </m:t>
          </m:r>
          <m:r>
            <m:t>(</m:t>
          </m:r>
          <m:r>
            <m:t>13.2</m:t>
          </m:r>
          <m:r>
            <m:t>.1</m:t>
          </m:r>
          <m:r>
            <m:t>)</m:t>
          </m:r>
        </m:oMath>
      </m:oMathPara>
    </w:p>
    <w:p>
      <w:pPr>
        <w:pStyle w:val="FirstParagraph"/>
      </w:pPr>
      <w:r>
        <w:t xml:space="preserve">The apparatus is coupled, through its macroscopic constituents, to the Waters fields that fill every zone — in Vol. 4 language, the environment</w:t>
      </w:r>
      <w:r>
        <w:t xml:space="preserve"> </w:t>
      </w:r>
      <m:oMath>
        <m:r>
          <m:rPr>
            <m:sty m:val="p"/>
            <m:scr m:val="script"/>
          </m:rPr>
          <m:t>E</m:t>
        </m:r>
      </m:oMath>
      <w:r>
        <w:t xml:space="preserve"> </w:t>
      </w:r>
      <w:r>
        <w:t xml:space="preserve">is the</w:t>
      </w:r>
      <w:r>
        <w:t xml:space="preserve"> </w:t>
      </w:r>
      <m:oMath>
        <m:sSub>
          <m:e>
            <m:r>
              <m:t>Ψ</m:t>
            </m:r>
          </m:e>
          <m:sub>
            <m:r>
              <m:t>A</m:t>
            </m:r>
          </m:sub>
        </m:sSub>
      </m:oMath>
      <w:r>
        <w:t xml:space="preserve"> </w:t>
      </w:r>
      <w:r>
        <w:t xml:space="preserve">and</w:t>
      </w:r>
      <w:r>
        <w:t xml:space="preserve"> </w:t>
      </w:r>
      <m:oMath>
        <m:sSub>
          <m:e>
            <m:r>
              <m:t>Ψ</m:t>
            </m:r>
          </m:e>
          <m:sub>
            <m:r>
              <m:t>B</m:t>
            </m:r>
          </m:sub>
        </m:sSub>
      </m:oMath>
      <w:r>
        <w:t xml:space="preserve"> </w:t>
      </w:r>
      <w:r>
        <w:t xml:space="preserve">continuum around the apparatus. The full state becomes</w:t>
      </w:r>
    </w:p>
    <w:p>
      <w:pPr>
        <w:pStyle w:val="BodyText"/>
      </w:pPr>
      <m:oMathPara>
        <m:oMathParaPr>
          <m:jc m:val="center"/>
        </m:oMathParaPr>
        <m:oMath>
          <m:r>
            <m:t>|</m:t>
          </m:r>
          <m:sSub>
            <m:e>
              <m:r>
                <m:t>Ψ</m:t>
              </m:r>
            </m:e>
            <m:sub>
              <m:r>
                <m:t>S</m:t>
              </m:r>
              <m:r>
                <m:t>A</m:t>
              </m:r>
              <m:r>
                <m:t>E</m:t>
              </m:r>
            </m:sub>
          </m:sSub>
          <m:r>
            <m:t>⟩</m:t>
          </m:r>
          <m:r>
            <m:t>=</m:t>
          </m:r>
          <m:sSub>
            <m:e>
              <m:r>
                <m:t>c</m:t>
              </m:r>
            </m:e>
            <m:sub>
              <m:r>
                <m:t>1</m:t>
              </m:r>
            </m:sub>
          </m:sSub>
          <m:r>
            <m:t>|</m:t>
          </m:r>
          <m:sSub>
            <m:e>
              <m:r>
                <m:t>ψ</m:t>
              </m:r>
            </m:e>
            <m:sub>
              <m:r>
                <m:t>1</m:t>
              </m:r>
            </m:sub>
          </m:sSub>
          <m:r>
            <m:t>⟩</m:t>
          </m:r>
          <m:r>
            <m:t>|</m:t>
          </m:r>
          <m:sSub>
            <m:e>
              <m:r>
                <m:rPr>
                  <m:sty m:val="p"/>
                </m:rPr>
                <m:t>O</m:t>
              </m:r>
              <m:r>
                <m:rPr>
                  <m:sty m:val="p"/>
                </m:rPr>
                <m:t>b</m:t>
              </m:r>
              <m:r>
                <m:rPr>
                  <m:sty m:val="p"/>
                </m:rPr>
                <m:t>s</m:t>
              </m:r>
            </m:e>
            <m:sub>
              <m:r>
                <m:t>1</m:t>
              </m:r>
            </m:sub>
          </m:sSub>
          <m:r>
            <m:t>⟩</m:t>
          </m:r>
          <m:r>
            <m:t>|</m:t>
          </m:r>
          <m:sSub>
            <m:e>
              <m:r>
                <m:rPr>
                  <m:sty m:val="p"/>
                </m:rPr>
                <m:t>E</m:t>
              </m:r>
              <m:r>
                <m:rPr>
                  <m:sty m:val="p"/>
                </m:rPr>
                <m:t>n</m:t>
              </m:r>
              <m:r>
                <m:rPr>
                  <m:sty m:val="p"/>
                </m:rPr>
                <m:t>v</m:t>
              </m:r>
            </m:e>
            <m:sub>
              <m:r>
                <m:t>1</m:t>
              </m:r>
            </m:sub>
          </m:sSub>
          <m:r>
            <m:t>⟩</m:t>
          </m:r>
          <m:r>
            <m:t>+</m:t>
          </m:r>
          <m:sSub>
            <m:e>
              <m:r>
                <m:t>c</m:t>
              </m:r>
            </m:e>
            <m:sub>
              <m:r>
                <m:t>2</m:t>
              </m:r>
            </m:sub>
          </m:sSub>
          <m:r>
            <m:t>|</m:t>
          </m:r>
          <m:sSub>
            <m:e>
              <m:r>
                <m:t>ψ</m:t>
              </m:r>
            </m:e>
            <m:sub>
              <m:r>
                <m:t>2</m:t>
              </m:r>
            </m:sub>
          </m:sSub>
          <m:r>
            <m:t>⟩</m:t>
          </m:r>
          <m:r>
            <m:t>|</m:t>
          </m:r>
          <m:sSub>
            <m:e>
              <m:r>
                <m:rPr>
                  <m:sty m:val="p"/>
                </m:rPr>
                <m:t>O</m:t>
              </m:r>
              <m:r>
                <m:rPr>
                  <m:sty m:val="p"/>
                </m:rPr>
                <m:t>b</m:t>
              </m:r>
              <m:r>
                <m:rPr>
                  <m:sty m:val="p"/>
                </m:rPr>
                <m:t>s</m:t>
              </m:r>
            </m:e>
            <m:sub>
              <m:r>
                <m:t>2</m:t>
              </m:r>
            </m:sub>
          </m:sSub>
          <m:r>
            <m:t>⟩</m:t>
          </m:r>
          <m:r>
            <m:t>|</m:t>
          </m:r>
          <m:sSub>
            <m:e>
              <m:r>
                <m:rPr>
                  <m:sty m:val="p"/>
                </m:rPr>
                <m:t>E</m:t>
              </m:r>
              <m:r>
                <m:rPr>
                  <m:sty m:val="p"/>
                </m:rPr>
                <m:t>n</m:t>
              </m:r>
              <m:r>
                <m:rPr>
                  <m:sty m:val="p"/>
                </m:rPr>
                <m:t>v</m:t>
              </m:r>
            </m:e>
            <m:sub>
              <m:r>
                <m:t>2</m:t>
              </m:r>
            </m:sub>
          </m:sSub>
          <m:r>
            <m:t>⟩</m:t>
          </m:r>
          <m:r>
            <m:t>,</m:t>
          </m:r>
          <m:r>
            <m:t> </m:t>
          </m:r>
          <m:r>
            <m:t>(</m:t>
          </m:r>
          <m:r>
            <m:t>13.2</m:t>
          </m:r>
          <m:r>
            <m:t>.2</m:t>
          </m:r>
          <m:r>
            <m:t>)</m:t>
          </m:r>
        </m:oMath>
      </m:oMathPara>
    </w:p>
    <w:p>
      <w:pPr>
        <w:pStyle w:val="FirstParagraph"/>
      </w:pPr>
      <w:r>
        <w:t xml:space="preserve">where</w:t>
      </w:r>
      <w:r>
        <w:t xml:space="preserve"> </w:t>
      </w:r>
      <m:oMath>
        <m:r>
          <m:t>|</m:t>
        </m:r>
        <m:sSub>
          <m:e>
            <m:r>
              <m:rPr>
                <m:sty m:val="p"/>
              </m:rPr>
              <m:t>E</m:t>
            </m:r>
            <m:r>
              <m:rPr>
                <m:sty m:val="p"/>
              </m:rPr>
              <m:t>n</m:t>
            </m:r>
            <m:r>
              <m:rPr>
                <m:sty m:val="p"/>
              </m:rPr>
              <m:t>v</m:t>
            </m:r>
          </m:e>
          <m:sub>
            <m:r>
              <m:t>i</m:t>
            </m:r>
          </m:sub>
        </m:sSub>
        <m:r>
          <m:t>⟩</m:t>
        </m:r>
      </m:oMath>
      <w:r>
        <w:t xml:space="preserve"> </w:t>
      </w:r>
      <w:r>
        <w:t xml:space="preserve">are the Waters-field configurations correlated with each branch. When we compute the reduced density matrix of the system+apparatus (Vol 4 Eq. 4.8.2) by tracing out the environment, we find the cross terms vanish because the environment states are effectively orthogonal for any macroscopic number of Waters modes:</w:t>
      </w:r>
    </w:p>
    <w:p>
      <w:pPr>
        <w:pStyle w:val="BodyText"/>
      </w:pPr>
      <m:oMathPara>
        <m:oMathParaPr>
          <m:jc m:val="center"/>
        </m:oMathParaPr>
        <m:oMath>
          <m:sSub>
            <m:e>
              <m:r>
                <m:t>ρ</m:t>
              </m:r>
            </m:e>
            <m:sub>
              <m:r>
                <m:t>S</m:t>
              </m:r>
              <m:r>
                <m:t>A</m:t>
              </m:r>
            </m:sub>
          </m:sSub>
          <m:r>
            <m:t>=</m:t>
          </m:r>
          <m:sSub>
            <m:e>
              <m:r>
                <m:rPr>
                  <m:sty m:val="p"/>
                </m:rPr>
                <m:t>T</m:t>
              </m:r>
              <m:r>
                <m:rPr>
                  <m:sty m:val="p"/>
                </m:rPr>
                <m:t>r</m:t>
              </m:r>
            </m:e>
            <m:sub>
              <m:r>
                <m:rPr>
                  <m:sty m:val="p"/>
                  <m:scr m:val="script"/>
                </m:rPr>
                <m:t>E</m:t>
              </m:r>
            </m:sub>
          </m:sSub>
          <m:sSub>
            <m:e>
              <m:r>
                <m:t>ρ</m:t>
              </m:r>
            </m:e>
            <m:sub>
              <m:r>
                <m:t>S</m:t>
              </m:r>
              <m:r>
                <m:t>A</m:t>
              </m:r>
              <m:r>
                <m:t>E</m:t>
              </m:r>
            </m:sub>
          </m:sSub>
          <m:r>
            <m:t>≈</m:t>
          </m:r>
          <m:r>
            <m:t>|</m:t>
          </m:r>
          <m:sSub>
            <m:e>
              <m:r>
                <m:t>c</m:t>
              </m:r>
            </m:e>
            <m:sub>
              <m:r>
                <m:t>1</m:t>
              </m:r>
            </m:sub>
          </m:sSub>
          <m:sSup>
            <m:e>
              <m:r>
                <m:t>|</m:t>
              </m:r>
            </m:e>
            <m:sup>
              <m:r>
                <m:t>2</m:t>
              </m:r>
            </m:sup>
          </m:sSup>
          <m:r>
            <m:t>|</m:t>
          </m:r>
          <m:sSub>
            <m:e>
              <m:r>
                <m:t>ψ</m:t>
              </m:r>
            </m:e>
            <m:sub>
              <m:r>
                <m:t>1</m:t>
              </m:r>
            </m:sub>
          </m:sSub>
          <m:r>
            <m:t>⟩</m:t>
          </m:r>
          <m:r>
            <m:t>⟨</m:t>
          </m:r>
          <m:sSub>
            <m:e>
              <m:r>
                <m:t>ψ</m:t>
              </m:r>
            </m:e>
            <m:sub>
              <m:r>
                <m:t>1</m:t>
              </m:r>
            </m:sub>
          </m:sSub>
          <m:r>
            <m:t>|</m:t>
          </m:r>
          <m:r>
            <m:t>⊗</m:t>
          </m:r>
          <m:r>
            <m:t>|</m:t>
          </m:r>
          <m:sSub>
            <m:e>
              <m:r>
                <m:rPr>
                  <m:sty m:val="p"/>
                </m:rPr>
                <m:t>O</m:t>
              </m:r>
              <m:r>
                <m:rPr>
                  <m:sty m:val="p"/>
                </m:rPr>
                <m:t>b</m:t>
              </m:r>
              <m:r>
                <m:rPr>
                  <m:sty m:val="p"/>
                </m:rPr>
                <m:t>s</m:t>
              </m:r>
            </m:e>
            <m:sub>
              <m:r>
                <m:t>1</m:t>
              </m:r>
            </m:sub>
          </m:sSub>
          <m:r>
            <m:t>⟩</m:t>
          </m:r>
          <m:r>
            <m:t>⟨</m:t>
          </m:r>
          <m:sSub>
            <m:e>
              <m:r>
                <m:rPr>
                  <m:sty m:val="p"/>
                </m:rPr>
                <m:t>O</m:t>
              </m:r>
              <m:r>
                <m:rPr>
                  <m:sty m:val="p"/>
                </m:rPr>
                <m:t>b</m:t>
              </m:r>
              <m:r>
                <m:rPr>
                  <m:sty m:val="p"/>
                </m:rPr>
                <m:t>s</m:t>
              </m:r>
            </m:e>
            <m:sub>
              <m:r>
                <m:t>1</m:t>
              </m:r>
            </m:sub>
          </m:sSub>
          <m:r>
            <m:t>|</m:t>
          </m:r>
          <m:r>
            <m:t>+</m:t>
          </m:r>
          <m:r>
            <m:t>|</m:t>
          </m:r>
          <m:sSub>
            <m:e>
              <m:r>
                <m:t>c</m:t>
              </m:r>
            </m:e>
            <m:sub>
              <m:r>
                <m:t>2</m:t>
              </m:r>
            </m:sub>
          </m:sSub>
          <m:sSup>
            <m:e>
              <m:r>
                <m:t>|</m:t>
              </m:r>
            </m:e>
            <m:sup>
              <m:r>
                <m:t>2</m:t>
              </m:r>
            </m:sup>
          </m:sSup>
          <m:r>
            <m:t>|</m:t>
          </m:r>
          <m:sSub>
            <m:e>
              <m:r>
                <m:t>ψ</m:t>
              </m:r>
            </m:e>
            <m:sub>
              <m:r>
                <m:t>2</m:t>
              </m:r>
            </m:sub>
          </m:sSub>
          <m:r>
            <m:t>⟩</m:t>
          </m:r>
          <m:r>
            <m:t>⟨</m:t>
          </m:r>
          <m:sSub>
            <m:e>
              <m:r>
                <m:t>ψ</m:t>
              </m:r>
            </m:e>
            <m:sub>
              <m:r>
                <m:t>2</m:t>
              </m:r>
            </m:sub>
          </m:sSub>
          <m:r>
            <m:t>|</m:t>
          </m:r>
          <m:r>
            <m:t>⊗</m:t>
          </m:r>
          <m:r>
            <m:t>|</m:t>
          </m:r>
          <m:sSub>
            <m:e>
              <m:r>
                <m:rPr>
                  <m:sty m:val="p"/>
                </m:rPr>
                <m:t>O</m:t>
              </m:r>
              <m:r>
                <m:rPr>
                  <m:sty m:val="p"/>
                </m:rPr>
                <m:t>b</m:t>
              </m:r>
              <m:r>
                <m:rPr>
                  <m:sty m:val="p"/>
                </m:rPr>
                <m:t>s</m:t>
              </m:r>
            </m:e>
            <m:sub>
              <m:r>
                <m:t>2</m:t>
              </m:r>
            </m:sub>
          </m:sSub>
          <m:r>
            <m:t>⟩</m:t>
          </m:r>
          <m:r>
            <m:t>⟨</m:t>
          </m:r>
          <m:sSub>
            <m:e>
              <m:r>
                <m:rPr>
                  <m:sty m:val="p"/>
                </m:rPr>
                <m:t>O</m:t>
              </m:r>
              <m:r>
                <m:rPr>
                  <m:sty m:val="p"/>
                </m:rPr>
                <m:t>b</m:t>
              </m:r>
              <m:r>
                <m:rPr>
                  <m:sty m:val="p"/>
                </m:rPr>
                <m:t>s</m:t>
              </m:r>
            </m:e>
            <m:sub>
              <m:r>
                <m:t>2</m:t>
              </m:r>
            </m:sub>
          </m:sSub>
          <m:r>
            <m:t>|</m:t>
          </m:r>
          <m:r>
            <m:t>.</m:t>
          </m:r>
          <m:r>
            <m:t> </m:t>
          </m:r>
          <m:r>
            <m:t>(</m:t>
          </m:r>
          <m:r>
            <m:t>13.2</m:t>
          </m:r>
          <m:r>
            <m:t>.3</m:t>
          </m:r>
          <m:r>
            <m:t>)</m:t>
          </m:r>
        </m:oMath>
      </m:oMathPara>
    </w:p>
    <w:p>
      <w:pPr>
        <w:pStyle w:val="FirstParagraph"/>
      </w:pPr>
      <w:r>
        <w:t xml:space="preserve">This is a classical mixture. Not a superposition. An apparatus observer, looking at the pointer, sees it in one position with probability</w:t>
      </w:r>
      <w:r>
        <w:t xml:space="preserve"> </w:t>
      </w:r>
      <m:oMath>
        <m:r>
          <m:t>|</m:t>
        </m:r>
        <m:sSub>
          <m:e>
            <m:r>
              <m:t>c</m:t>
            </m:r>
          </m:e>
          <m:sub>
            <m:r>
              <m:t>1</m:t>
            </m:r>
          </m:sub>
        </m:sSub>
        <m:sSup>
          <m:e>
            <m:r>
              <m:t>|</m:t>
            </m:r>
          </m:e>
          <m:sup>
            <m:r>
              <m:t>2</m:t>
            </m:r>
          </m:sup>
        </m:sSup>
      </m:oMath>
      <w:r>
        <w:t xml:space="preserve"> </w:t>
      </w:r>
      <w:r>
        <w:t xml:space="preserve">and the other with probability</w:t>
      </w:r>
      <w:r>
        <w:t xml:space="preserve"> </w:t>
      </w:r>
      <m:oMath>
        <m:r>
          <m:t>|</m:t>
        </m:r>
        <m:sSub>
          <m:e>
            <m:r>
              <m:t>c</m:t>
            </m:r>
          </m:e>
          <m:sub>
            <m:r>
              <m:t>2</m:t>
            </m:r>
          </m:sub>
        </m:sSub>
        <m:sSup>
          <m:e>
            <m:r>
              <m:t>|</m:t>
            </m:r>
          </m:e>
          <m:sup>
            <m:r>
              <m:t>2</m:t>
            </m:r>
          </m:sup>
        </m:sSup>
      </m:oMath>
      <w:r>
        <w:t xml:space="preserve">. The Born rule emerges from the energy-transfer argument of Vol. 4 §4.8.4 (a branch with larger amplitude transfers more energy to the apparatus, leaving a stronger imprint; over many trials the frequencies reproduce</w:t>
      </w:r>
      <w:r>
        <w:t xml:space="preserve"> </w:t>
      </w:r>
      <m:oMath>
        <m:r>
          <m:t>|</m:t>
        </m:r>
        <m:sSub>
          <m:e>
            <m:r>
              <m:t>c</m:t>
            </m:r>
          </m:e>
          <m:sub>
            <m:r>
              <m:t>i</m:t>
            </m:r>
          </m:sub>
        </m:sSub>
        <m:sSup>
          <m:e>
            <m:r>
              <m:t>|</m:t>
            </m:r>
          </m:e>
          <m:sup>
            <m:r>
              <m:t>2</m:t>
            </m:r>
          </m:sup>
        </m:sSup>
      </m:oMath>
      <w:r>
        <w:t xml:space="preserve">). No collapse is postulated. No observer is required.</w:t>
      </w:r>
    </w:p>
    <w:p>
      <w:pPr>
        <w:pStyle w:val="BodyText"/>
      </w:pPr>
      <w:r>
        <w:t xml:space="preserve">Consciousness does not appear anywhere in this derivation. It does not need to. The framework’s account of measurement is complete without it.</w:t>
      </w:r>
    </w:p>
    <w:p>
      <w:pPr>
        <w:pStyle w:val="BodyText"/>
      </w:pPr>
      <w:r>
        <w:t xml:space="preserve">[FIGURE: Fig 6.13.2 — Measurement Without Consciousness: Decoherence in the Zone Picture. Three-panel diagram. Panel (a): System in superposition c₁|ψ₁⟩ + c₂|ψ₂⟩ shown as two branches; apparatus in ready state; environment (Waters fields) shown as a diffuse background. Panel (b): After interaction, system-apparatus entangled state (Eq. 13.2.1); environment is just beginning to couple. Panel (c): After decoherence, Waters fields in branch-specific configurations; reduced density matrix of system+apparatus is a classical mixture (Eq. 13.2.3). Arrow from panel to panel labeled</w:t>
      </w:r>
      <w:r>
        <w:t xml:space="preserve"> </w:t>
      </w:r>
      <w:r>
        <w:t xml:space="preserve">“</w:t>
      </w:r>
      <w:r>
        <w:t xml:space="preserve">time (brane proper time).</w:t>
      </w:r>
      <w:r>
        <w:t xml:space="preserve">”</w:t>
      </w:r>
      <w:r>
        <w:t xml:space="preserve"> </w:t>
      </w:r>
      <w:r>
        <w:t xml:space="preserve">A bold caption at the bottom reads:</w:t>
      </w:r>
      <w:r>
        <w:t xml:space="preserve"> </w:t>
      </w:r>
      <w:r>
        <w:t xml:space="preserve">“</w:t>
      </w:r>
      <w:r>
        <w:t xml:space="preserve">Consciousness is downstream of this diagram. It appears — if at all — only after panel (c), when a macroscopic brain observes the already-decohered pointer. In this framework, consciousness does not collapse the wavefunction. Decoherence does.</w:t>
      </w:r>
      <w:r>
        <w:t xml:space="preserve">”</w:t>
      </w:r>
      <w:r>
        <w:t xml:space="preserve">]</w:t>
      </w:r>
    </w:p>
    <w:p>
      <w:pPr>
        <w:pStyle w:val="BodyText"/>
      </w:pPr>
      <w:r>
        <w:rPr>
          <w:b/>
        </w:rPr>
        <w:t xml:space="preserve">Why this matters for the rest of the chapter.</w:t>
      </w:r>
      <w:r>
        <w:t xml:space="preserve"> </w:t>
      </w:r>
      <w:r>
        <w:t xml:space="preserve">When we introduce the composite consciousness wavefunction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in §13.3, a reader accustomed to the von Neumann–Wigner picture will be tempted to read 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component as the</w:t>
      </w:r>
      <w:r>
        <w:t xml:space="preserve"> </w:t>
      </w:r>
      <w:r>
        <w:t xml:space="preserve">“</w:t>
      </w:r>
      <w:r>
        <w:t xml:space="preserve">conscious observer</w:t>
      </w:r>
      <w:r>
        <w:t xml:space="preserve">”</w:t>
      </w:r>
      <w:r>
        <w:t xml:space="preserve"> </w:t>
      </w:r>
      <w:r>
        <w:t xml:space="preserve">that causes collapse. That reading is wrong in this framework.</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component of the conscious subsystem’s quantum state, not an agent of measurement. The apparatus did its job (decohered the system) before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had anything to observe. Whatever role consciousness plays — and the chapter will argue it plays an architectural role, not a causal one — is downstream of the decoherence process, not its upstream cause.</w:t>
      </w:r>
    </w:p>
    <w:p>
      <w:pPr>
        <w:pStyle w:val="BodyText"/>
      </w:pPr>
      <w:r>
        <w:t xml:space="preserve">This distinction is unambiguous, and we will not return to it. A reader who carries the distinction from this section into §13.3 and beyond will find the rest of the chapter clean. A reader who forgets it will find themselves repeatedly confused.</w:t>
      </w:r>
    </w:p>
    <w:p>
      <w:pPr>
        <w:pStyle w:val="BodyText"/>
      </w:pPr>
      <w:r>
        <w:t xml:space="preserve">There is one more thing to note before we proceed. The decoherence account does not say that consciousness is</w:t>
      </w:r>
      <w:r>
        <w:t xml:space="preserve"> </w:t>
      </w:r>
      <w:r>
        <w:rPr>
          <w:i/>
        </w:rPr>
        <w:t xml:space="preserve">irrelevant</w:t>
      </w:r>
      <w:r>
        <w:t xml:space="preserve"> </w:t>
      </w:r>
      <w:r>
        <w:t xml:space="preserve">to measurement. It says only that consciousness is not</w:t>
      </w:r>
      <w:r>
        <w:t xml:space="preserve"> </w:t>
      </w:r>
      <w:r>
        <w:rPr>
          <w:i/>
        </w:rPr>
        <w:t xml:space="preserve">causally responsible</w:t>
      </w:r>
      <w:r>
        <w:t xml:space="preserve"> </w:t>
      </w:r>
      <w:r>
        <w:t xml:space="preserve">for the collapse-like appearance in the reduced density matrix. The observer still plays a role — they read the pointer, encode the result in memory, report it to others. Those are genuine processes, and a full account of the observer-in-measurement is a legitimate physics question. But they are brane-side neural and information-theoretic processes, operating on an already-decohered state. They do not do the work that the von Neumann–Wigner proposal assigned to consciousness. In this framework,</w:t>
      </w:r>
      <w:r>
        <w:t xml:space="preserve"> </w:t>
      </w:r>
      <w:r>
        <w:rPr>
          <w:b/>
        </w:rPr>
        <w:t xml:space="preserve">decoherence completes measurement, and consciousness arrives as a macroscopic witness</w:t>
      </w:r>
      <w:r>
        <w:t xml:space="preserve">.</w:t>
      </w:r>
    </w:p>
    <w:p>
      <w:pPr>
        <w:pStyle w:val="BodyText"/>
      </w:pPr>
      <w:r>
        <w:t xml:space="preserve">With that settled, we can turn to what the framework does claim about consciousness.</w:t>
      </w:r>
    </w:p>
    <w:p>
      <w:r>
        <w:pict>
          <v:rect style="width:0;height:1.5pt" o:hralign="center" o:hrstd="t" o:hr="t"/>
        </w:pict>
      </w:r>
    </w:p>
    <w:p>
      <w:pPr>
        <w:pStyle w:val="Heading2"/>
      </w:pPr>
      <w:bookmarkStart w:id="23" w:name="Xad7e7ec59e205acd9d02e9cb18478571f4b06d4"/>
      <w:r>
        <w:t xml:space="preserve">13.3 The Theoretical Framework — Ψ_consciousness = Ψ_body ⊗ Ψ_spirit</w:t>
      </w:r>
      <w:bookmarkEnd w:id="23"/>
    </w:p>
    <w:p>
      <w:pPr>
        <w:pStyle w:val="FirstParagraph"/>
      </w:pPr>
      <w:r>
        <w:t xml:space="preserve">The zone-architecture theoretical framework for consciousness is a composite wavefunction. For any conscious subsystem — a person, an animal, a hypothetical alien organism, in principle any system that instantiates the right coupling structure — the framework writes the total quantum state as</w:t>
      </w:r>
    </w:p>
    <w:p>
      <w:pPr>
        <w:pStyle w:val="BodyText"/>
      </w:pPr>
      <m:oMathPara>
        <m:oMathParaPr>
          <m:jc m:val="center"/>
        </m:oMathParaP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acc>
            <m:accPr>
              <m:chr m:val="⃗"/>
            </m:accPr>
            <m:e>
              <m:r>
                <m:t>r</m:t>
              </m:r>
            </m:e>
          </m:acc>
          <m:r>
            <m:t>,</m:t>
          </m:r>
          <m:r>
            <m:t>t</m:t>
          </m:r>
          <m:r>
            <m:t>;</m:t>
          </m:r>
          <m:r>
            <m:t>S</m:t>
          </m:r>
          <m:r>
            <m:t>)</m:t>
          </m:r>
          <m:r>
            <m:t>=</m:t>
          </m:r>
          <m:sSub>
            <m:e>
              <m:r>
                <m:t>Ψ</m:t>
              </m:r>
            </m:e>
            <m:sub>
              <m:r>
                <m:rPr>
                  <m:sty m:val="p"/>
                </m:rPr>
                <m:t>b</m:t>
              </m:r>
              <m:r>
                <m:rPr>
                  <m:sty m:val="p"/>
                </m:rPr>
                <m:t>o</m:t>
              </m:r>
              <m:r>
                <m:rPr>
                  <m:sty m:val="p"/>
                </m:rPr>
                <m:t>d</m:t>
              </m:r>
              <m:r>
                <m:rPr>
                  <m:sty m:val="p"/>
                </m:rPr>
                <m:t>y</m:t>
              </m:r>
            </m:sub>
          </m:sSub>
          <m:r>
            <m:t>(</m:t>
          </m:r>
          <m:acc>
            <m:accPr>
              <m:chr m:val="⃗"/>
            </m:accPr>
            <m:e>
              <m:r>
                <m:t>r</m:t>
              </m:r>
            </m:e>
          </m:acc>
          <m:r>
            <m:t>,</m:t>
          </m:r>
          <m:r>
            <m:t>t</m:t>
          </m:r>
          <m:r>
            <m:t>)</m:t>
          </m:r>
          <m:r>
            <m:t>⊗</m:t>
          </m:r>
          <m:sSub>
            <m:e>
              <m:r>
                <m:t>Ψ</m:t>
              </m:r>
            </m:e>
            <m:sub>
              <m:r>
                <m:rPr>
                  <m:sty m:val="p"/>
                </m:rPr>
                <m:t>s</m:t>
              </m:r>
              <m:r>
                <m:rPr>
                  <m:sty m:val="p"/>
                </m:rPr>
                <m:t>p</m:t>
              </m:r>
              <m:r>
                <m:rPr>
                  <m:sty m:val="p"/>
                </m:rPr>
                <m:t>i</m:t>
              </m:r>
              <m:r>
                <m:rPr>
                  <m:sty m:val="p"/>
                </m:rPr>
                <m:t>r</m:t>
              </m:r>
              <m:r>
                <m:rPr>
                  <m:sty m:val="p"/>
                </m:rPr>
                <m:t>i</m:t>
              </m:r>
              <m:r>
                <m:rPr>
                  <m:sty m:val="p"/>
                </m:rPr>
                <m:t>t</m:t>
              </m:r>
            </m:sub>
          </m:sSub>
          <m:r>
            <m:t>(</m:t>
          </m:r>
          <m:r>
            <m:t>S</m:t>
          </m:r>
          <m:r>
            <m:t>)</m:t>
          </m:r>
          <m:r>
            <m:t>,</m:t>
          </m:r>
          <m:r>
            <m:t> </m:t>
          </m:r>
          <m:r>
            <m:t>(</m:t>
          </m:r>
          <m:r>
            <m:t>13.3</m:t>
          </m:r>
          <m:r>
            <m:t>.1</m:t>
          </m:r>
          <m:r>
            <m:t>)</m:t>
          </m:r>
        </m:oMath>
      </m:oMathPara>
    </w:p>
    <w:p>
      <w:pPr>
        <w:pStyle w:val="FirstParagraph"/>
      </w:pPr>
      <w:r>
        <w:t xml:space="preserve">where</w:t>
      </w:r>
      <w:r>
        <w:t xml:space="preserve"> </w:t>
      </w:r>
      <m:oMath>
        <m:sSub>
          <m:e>
            <m:r>
              <m:t>Ψ</m:t>
            </m:r>
          </m:e>
          <m:sub>
            <m:r>
              <m:rPr>
                <m:sty m:val="p"/>
              </m:rPr>
              <m:t>b</m:t>
            </m:r>
            <m:r>
              <m:rPr>
                <m:sty m:val="p"/>
              </m:rPr>
              <m:t>o</m:t>
            </m:r>
            <m:r>
              <m:rPr>
                <m:sty m:val="p"/>
              </m:rPr>
              <m:t>d</m:t>
            </m:r>
            <m:r>
              <m:rPr>
                <m:sty m:val="p"/>
              </m:rPr>
              <m:t>y</m:t>
            </m:r>
          </m:sub>
        </m:sSub>
      </m:oMath>
      <w:r>
        <w:t xml:space="preserve"> </w:t>
      </w:r>
      <w:r>
        <w:t xml:space="preserve">is the brane-side component (a standard quantum state defined on 4D spacetime coordinates</w:t>
      </w:r>
      <w:r>
        <w:t xml:space="preserve"> </w:t>
      </w:r>
      <m:oMath>
        <m:r>
          <m:t>(</m:t>
        </m:r>
        <m:acc>
          <m:accPr>
            <m:chr m:val="⃗"/>
          </m:accPr>
          <m:e>
            <m:r>
              <m:t>r</m:t>
            </m:r>
          </m:e>
        </m:acc>
        <m:r>
          <m:t>,</m:t>
        </m:r>
        <m:r>
          <m:t>t</m:t>
        </m:r>
        <m:r>
          <m:t>)</m:t>
        </m:r>
      </m:oMath>
      <w:r>
        <w:t xml:space="preserve">, encompassing whatever microphysical substrate supports consciousness — neural correlates, microtubule states, as-yet-unidentified biophysical structure) and</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the bulk-side component, a field configuration on Zone 1 parametrized by the Zone 1 coordinate</w:t>
      </w:r>
      <w:r>
        <w:t xml:space="preserve"> </w:t>
      </w:r>
      <m:oMath>
        <m:r>
          <m:t>S</m:t>
        </m:r>
      </m:oMath>
      <w:r>
        <w:t xml:space="preserve">.</w:t>
      </w:r>
    </w:p>
    <w:p>
      <w:pPr>
        <w:pStyle w:val="BodyText"/>
      </w:pPr>
      <w:r>
        <w:t xml:space="preserve">Every term in that expression needs unpacking, and in particular the identification of the bulk-side component with Zone 1 — rather than Zone 2 or Zone 3 — is the framework’s key theoretical commitment about consciousness. We will earn that identification in this section.</w:t>
      </w:r>
    </w:p>
    <w:p>
      <w:pPr>
        <w:pStyle w:val="Heading3"/>
      </w:pPr>
      <w:bookmarkStart w:id="24" w:name="zone-1-geometry-recap"/>
      <w:r>
        <w:t xml:space="preserve">13.3.1 Zone 1 Geometry Recap</w:t>
      </w:r>
      <w:bookmarkEnd w:id="24"/>
    </w:p>
    <w:p>
      <w:pPr>
        <w:pStyle w:val="FirstParagraph"/>
      </w:pPr>
      <w:r>
        <w:t xml:space="preserve">Zone 1 was introduced in Vol. 1 Ch. 3 as the outermost layer of the zone manifold — the domain that sits</w:t>
      </w:r>
      <w:r>
        <w:t xml:space="preserve"> </w:t>
      </w:r>
      <w:r>
        <w:t xml:space="preserve">“</w:t>
      </w:r>
      <w:r>
        <w:t xml:space="preserve">above</w:t>
      </w:r>
      <w:r>
        <w:t xml:space="preserve">”</w:t>
      </w:r>
      <w:r>
        <w:t xml:space="preserve"> </w:t>
      </w:r>
      <w:r>
        <w:t xml:space="preserve">the brane in the same way that the brane sits</w:t>
      </w:r>
      <w:r>
        <w:t xml:space="preserve"> </w:t>
      </w:r>
      <w:r>
        <w:t xml:space="preserve">“</w:t>
      </w:r>
      <w:r>
        <w:t xml:space="preserve">above</w:t>
      </w:r>
      <w:r>
        <w:t xml:space="preserve">”</w:t>
      </w:r>
      <w:r>
        <w:t xml:space="preserve"> </w:t>
      </w:r>
      <w:r>
        <w:t xml:space="preserve">the Waters Below of Zone 2. Volume 4 Ch. 8 derived its metric structure from the 6D Einstein equations: Zone 1 is a Riemannian manifold with metric</w:t>
      </w:r>
    </w:p>
    <w:p>
      <w:pPr>
        <w:pStyle w:val="BodyText"/>
      </w:pPr>
      <m:oMathPara>
        <m:oMathParaPr>
          <m:jc m:val="center"/>
        </m:oMathParaPr>
        <m:oMath>
          <m:r>
            <m:t>d</m:t>
          </m:r>
          <m:sSubSup>
            <m:e>
              <m:r>
                <m:t>s</m:t>
              </m:r>
            </m:e>
            <m:sub>
              <m:r>
                <m:t>Z</m:t>
              </m:r>
              <m:r>
                <m:t>1</m:t>
              </m:r>
            </m:sub>
            <m:sup>
              <m:r>
                <m:t>2</m:t>
              </m:r>
            </m:sup>
          </m:sSubSup>
          <m:r>
            <m:t>=</m:t>
          </m:r>
          <m:sSub>
            <m:e>
              <m:r>
                <m:t>h</m:t>
              </m:r>
            </m:e>
            <m:sub>
              <m:r>
                <m:t>S</m:t>
              </m:r>
              <m:r>
                <m:t>S</m:t>
              </m:r>
            </m:sub>
          </m:sSub>
          <m:r>
            <m:t>(</m:t>
          </m:r>
          <m:r>
            <m:t>S</m:t>
          </m:r>
          <m:r>
            <m:t>)</m:t>
          </m:r>
          <m:r>
            <m:t> </m:t>
          </m:r>
          <m:r>
            <m:t>d</m:t>
          </m:r>
          <m:r>
            <m:t>S</m:t>
          </m:r>
          <m:r>
            <m:t>⋅</m:t>
          </m:r>
          <m:r>
            <m:t>d</m:t>
          </m:r>
          <m:r>
            <m:t>S</m:t>
          </m:r>
          <m:r>
            <m:t>,</m:t>
          </m:r>
          <m:r>
            <m:t> </m:t>
          </m:r>
          <m:r>
            <m:t>(</m:t>
          </m:r>
          <m:r>
            <m:t>13.3</m:t>
          </m:r>
          <m:r>
            <m:t>.2</m:t>
          </m:r>
          <m:r>
            <m:t>)</m:t>
          </m:r>
        </m:oMath>
      </m:oMathPara>
    </w:p>
    <w:p>
      <w:pPr>
        <w:pStyle w:val="FirstParagraph"/>
      </w:pPr>
      <w:r>
        <w:t xml:space="preserve">where</w:t>
      </w:r>
      <w:r>
        <w:t xml:space="preserve"> </w:t>
      </w:r>
      <m:oMath>
        <m:r>
          <m:t>S</m:t>
        </m:r>
      </m:oMath>
      <w:r>
        <w:t xml:space="preserve"> </w:t>
      </w:r>
      <w:r>
        <w:t xml:space="preserve">denotes a coordinate on Zone 1 and</w:t>
      </w:r>
      <w:r>
        <w:t xml:space="preserve"> </w:t>
      </w:r>
      <m:oMath>
        <m:sSub>
          <m:e>
            <m:r>
              <m:t>h</m:t>
            </m:r>
          </m:e>
          <m:sub>
            <m:r>
              <m:t>S</m:t>
            </m:r>
            <m:r>
              <m:t>S</m:t>
            </m:r>
          </m:sub>
        </m:sSub>
      </m:oMath>
      <w:r>
        <w:t xml:space="preserve"> </w:t>
      </w:r>
      <w:r>
        <w:t xml:space="preserve">is positive-definite.</w:t>
      </w:r>
      <w:r>
        <w:t xml:space="preserve"> </w:t>
      </w:r>
      <w:r>
        <w:rPr>
          <w:b/>
        </w:rPr>
        <w:t xml:space="preserve">There is no timelike component in Eq. (13.3.2).</w:t>
      </w:r>
      <w:r>
        <w:t xml:space="preserve"> </w:t>
      </w:r>
      <w:r>
        <w:t xml:space="preserve">Zone 1 is purely spatial in its metric structure, though the word</w:t>
      </w:r>
      <w:r>
        <w:t xml:space="preserve"> </w:t>
      </w:r>
      <w:r>
        <w:t xml:space="preserve">“</w:t>
      </w:r>
      <w:r>
        <w:t xml:space="preserve">spatial</w:t>
      </w:r>
      <w:r>
        <w:t xml:space="preserve">”</w:t>
      </w:r>
      <w:r>
        <w:t xml:space="preserve"> </w:t>
      </w:r>
      <w:r>
        <w:t xml:space="preserve">should not be read as suggesting that</w:t>
      </w:r>
      <w:r>
        <w:t xml:space="preserve"> </w:t>
      </w:r>
      <m:oMath>
        <m:r>
          <m:t>S</m:t>
        </m:r>
      </m:oMath>
      <w:r>
        <w:t xml:space="preserve"> </w:t>
      </w:r>
      <w:r>
        <w:t xml:space="preserve">is literally a spatial coordinate in the 4D-brane sense; it is a structural coordinate on a domain that is not embedded in 4D spacetime.</w:t>
      </w:r>
    </w:p>
    <w:p>
      <w:pPr>
        <w:pStyle w:val="BodyText"/>
      </w:pPr>
      <w:r>
        <w:t xml:space="preserve">The absence of a timelike component has three consequences worth stating before we use them in §13.3.2 onward:</w:t>
      </w:r>
    </w:p>
    <w:p>
      <w:pPr>
        <w:numPr>
          <w:ilvl w:val="0"/>
          <w:numId w:val="1002"/>
        </w:numPr>
        <w:pStyle w:val="Compact"/>
      </w:pPr>
      <w:r>
        <w:rPr>
          <w:b/>
        </w:rPr>
        <w:t xml:space="preserve">No propagation time.</w:t>
      </w:r>
      <w:r>
        <w:t xml:space="preserve"> </w:t>
      </w:r>
      <w:r>
        <w:t xml:space="preserve">Wave propagation in a metric of signature</w:t>
      </w:r>
      <w:r>
        <w:t xml:space="preserve"> </w:t>
      </w:r>
      <m:oMath>
        <m:r>
          <m:t>(</m:t>
        </m:r>
        <m:r>
          <m:t>−</m:t>
        </m:r>
        <m:r>
          <m:t>,</m:t>
        </m:r>
        <m:r>
          <m:t>+</m:t>
        </m:r>
        <m:r>
          <m:t>,</m:t>
        </m:r>
        <m:r>
          <m:t>+</m:t>
        </m:r>
        <m:r>
          <m:t>,</m:t>
        </m:r>
        <m:r>
          <m:t>+</m:t>
        </m:r>
        <m:r>
          <m:t>,</m:t>
        </m:r>
        <m:r>
          <m:t>…</m:t>
        </m:r>
        <m:r>
          <m:t>)</m:t>
        </m:r>
      </m:oMath>
      <w:r>
        <w:t xml:space="preserve"> </w:t>
      </w:r>
      <w:r>
        <w:t xml:space="preserve">occurs along timelike or null curves; wave propagation in a Riemannian metric has no such curves.</w:t>
      </w:r>
      <w:r>
        <w:t xml:space="preserve"> </w:t>
      </w:r>
      <w:r>
        <w:t xml:space="preserve">“</w:t>
      </w:r>
      <w:r>
        <w:t xml:space="preserve">Signals</w:t>
      </w:r>
      <w:r>
        <w:t xml:space="preserve">”</w:t>
      </w:r>
      <w:r>
        <w:t xml:space="preserve"> </w:t>
      </w:r>
      <w:r>
        <w:t xml:space="preserve">in Zone 1 are not transit phenomena; they are configurations of the</w:t>
      </w:r>
      <w:r>
        <w:t xml:space="preserve"> </w:t>
      </w:r>
      <m:oMath>
        <m:sSub>
          <m:e>
            <m:r>
              <m:t>h</m:t>
            </m:r>
          </m:e>
          <m:sub>
            <m:r>
              <m:t>S</m:t>
            </m:r>
            <m:r>
              <m:t>S</m:t>
            </m:r>
          </m:sub>
        </m:sSub>
      </m:oMath>
      <w:r>
        <w:t xml:space="preserve"> </w:t>
      </w:r>
      <w:r>
        <w:t xml:space="preserve">field.</w:t>
      </w:r>
    </w:p>
    <w:p>
      <w:pPr>
        <w:numPr>
          <w:ilvl w:val="0"/>
          <w:numId w:val="1002"/>
        </w:numPr>
        <w:pStyle w:val="Compact"/>
      </w:pPr>
      <w:r>
        <w:rPr>
          <w:b/>
        </w:rPr>
        <w:t xml:space="preserve">No energy flow.</w:t>
      </w:r>
      <w:r>
        <w:t xml:space="preserve"> </w:t>
      </w:r>
      <w:r>
        <w:t xml:space="preserve">Energy–momentum is a timelike four-vector, and its flow requires a timelike direction. Zone 1 has none; therefore energy, heat, and matter cannot be transported through Zone 1. (This was the foundation for the information-only limitation in Ch. 9 §9.6.4 and Ch. 11 §11.5.5.)</w:t>
      </w:r>
    </w:p>
    <w:p>
      <w:pPr>
        <w:numPr>
          <w:ilvl w:val="0"/>
          <w:numId w:val="1002"/>
        </w:numPr>
        <w:pStyle w:val="Compact"/>
      </w:pPr>
      <w:r>
        <w:rPr>
          <w:b/>
        </w:rPr>
        <w:t xml:space="preserve">Atemporal causality.</w:t>
      </w:r>
      <w:r>
        <w:t xml:space="preserve"> </w:t>
      </w:r>
      <w:r>
        <w:t xml:space="preserve">Zone 1 admits a notion of causal structure — a partial ordering on events by logical dependency, in the sense developed by Malament, Earman, and others for Riemannian manifolds of cosmological interest — but not a temporal ordering.</w:t>
      </w:r>
      <w:r>
        <w:t xml:space="preserve"> </w:t>
      </w:r>
      <w:r>
        <w:t xml:space="preserve">“</w:t>
      </w:r>
      <w:r>
        <w:t xml:space="preserve">Earlier</w:t>
      </w:r>
      <w:r>
        <w:t xml:space="preserve">”</w:t>
      </w:r>
      <w:r>
        <w:t xml:space="preserve"> </w:t>
      </w:r>
      <w:r>
        <w:t xml:space="preserve">and</w:t>
      </w:r>
      <w:r>
        <w:t xml:space="preserve"> </w:t>
      </w:r>
      <w:r>
        <w:t xml:space="preserve">“</w:t>
      </w:r>
      <w:r>
        <w:t xml:space="preserve">later</w:t>
      </w:r>
      <w:r>
        <w:t xml:space="preserve">”</w:t>
      </w:r>
      <w:r>
        <w:t xml:space="preserve"> </w:t>
      </w:r>
      <w:r>
        <w:t xml:space="preserve">are undefined;</w:t>
      </w:r>
      <w:r>
        <w:t xml:space="preserve"> </w:t>
      </w:r>
      <w:r>
        <w:t xml:space="preserve">“</w:t>
      </w:r>
      <w:r>
        <w:t xml:space="preserve">adjacent</w:t>
      </w:r>
      <w:r>
        <w:t xml:space="preserve">”</w:t>
      </w:r>
      <w:r>
        <w:t xml:space="preserve"> </w:t>
      </w:r>
      <w:r>
        <w:t xml:space="preserve">and</w:t>
      </w:r>
      <w:r>
        <w:t xml:space="preserve"> </w:t>
      </w:r>
      <w:r>
        <w:t xml:space="preserve">“</w:t>
      </w:r>
      <w:r>
        <w:t xml:space="preserve">distant</w:t>
      </w:r>
      <w:r>
        <w:t xml:space="preserve">”</w:t>
      </w:r>
      <w:r>
        <w:t xml:space="preserve"> </w:t>
      </w:r>
      <w:r>
        <w:t xml:space="preserve">are defined.</w:t>
      </w:r>
    </w:p>
    <w:p>
      <w:pPr>
        <w:pStyle w:val="FirstParagraph"/>
      </w:pPr>
      <w:r>
        <w:t xml:space="preserve">These three consequences will be used throughout the chapter, and they are all derivations from Vol. 4 Ch. 8. We are not adding new structure here; we are pointing to structure already in place.</w:t>
      </w:r>
    </w:p>
    <w:p>
      <w:pPr>
        <w:pStyle w:val="Heading3"/>
      </w:pPr>
      <w:bookmarkStart w:id="25" w:name="X0f1ef5a3320db16cbda4e33d05575601570f435"/>
      <w:r>
        <w:t xml:space="preserve">13.3.2 The Zone-Manifold Factorization of the Total Wavefunction</w:t>
      </w:r>
      <w:bookmarkEnd w:id="25"/>
    </w:p>
    <w:p>
      <w:pPr>
        <w:pStyle w:val="FirstParagraph"/>
      </w:pPr>
      <w:r>
        <w:t xml:space="preserve">The total quantum state of the 6D universe is a wavefunction on the 6D manifold:</w:t>
      </w:r>
    </w:p>
    <w:p>
      <w:pPr>
        <w:pStyle w:val="BodyText"/>
      </w:pPr>
      <m:oMathPara>
        <m:oMathParaPr>
          <m:jc m:val="center"/>
        </m:oMathParaPr>
        <m:oMath>
          <m:sSub>
            <m:e>
              <m:r>
                <m:t>Ψ</m:t>
              </m:r>
            </m:e>
            <m:sub>
              <m:r>
                <m:rPr>
                  <m:sty m:val="p"/>
                </m:rPr>
                <m:t>u</m:t>
              </m:r>
              <m:r>
                <m:rPr>
                  <m:sty m:val="p"/>
                </m:rPr>
                <m:t>n</m:t>
              </m:r>
              <m:r>
                <m:rPr>
                  <m:sty m:val="p"/>
                </m:rPr>
                <m:t>i</m:t>
              </m:r>
              <m:r>
                <m:rPr>
                  <m:sty m:val="p"/>
                </m:rPr>
                <m:t>v</m:t>
              </m:r>
              <m:r>
                <m:rPr>
                  <m:sty m:val="p"/>
                </m:rPr>
                <m:t>e</m:t>
              </m:r>
              <m:r>
                <m:rPr>
                  <m:sty m:val="p"/>
                </m:rPr>
                <m:t>r</m:t>
              </m:r>
              <m:r>
                <m:rPr>
                  <m:sty m:val="p"/>
                </m:rPr>
                <m:t>s</m:t>
              </m:r>
              <m:r>
                <m:rPr>
                  <m:sty m:val="p"/>
                </m:rPr>
                <m:t>e</m:t>
              </m:r>
            </m:sub>
          </m:sSub>
          <m:r>
            <m:t>(</m:t>
          </m:r>
          <m:acc>
            <m:accPr>
              <m:chr m:val="⃗"/>
            </m:accPr>
            <m:e>
              <m:r>
                <m:t>r</m:t>
              </m:r>
            </m:e>
          </m:acc>
          <m:r>
            <m:t>,</m:t>
          </m:r>
          <m:r>
            <m:t>t</m:t>
          </m:r>
          <m:r>
            <m:t>;</m:t>
          </m:r>
          <m:r>
            <m:t>ξ</m:t>
          </m:r>
          <m:r>
            <m:t>,</m:t>
          </m:r>
          <m:r>
            <m:t>η</m:t>
          </m:r>
          <m:r>
            <m:t>,</m:t>
          </m:r>
          <m:r>
            <m:t>S</m:t>
          </m:r>
          <m:r>
            <m:t>)</m:t>
          </m:r>
          <m:r>
            <m:t>,</m:t>
          </m:r>
          <m:r>
            <m:t> </m:t>
          </m:r>
          <m:r>
            <m:t>(</m:t>
          </m:r>
          <m:r>
            <m:t>13.3</m:t>
          </m:r>
          <m:r>
            <m:t>.3</m:t>
          </m:r>
          <m:r>
            <m:t>)</m:t>
          </m:r>
        </m:oMath>
      </m:oMathPara>
    </w:p>
    <w:p>
      <w:pPr>
        <w:pStyle w:val="FirstParagraph"/>
      </w:pPr>
      <w:r>
        <w:t xml:space="preserve">with</w:t>
      </w:r>
      <w:r>
        <w:t xml:space="preserve"> </w:t>
      </w:r>
      <m:oMath>
        <m:r>
          <m:t>(</m:t>
        </m:r>
        <m:r>
          <m:t>ξ</m:t>
        </m:r>
        <m:r>
          <m:t>,</m:t>
        </m:r>
        <m:r>
          <m:t>η</m:t>
        </m:r>
        <m:r>
          <m:t>)</m:t>
        </m:r>
      </m:oMath>
      <w:r>
        <w:t xml:space="preserve"> </w:t>
      </w:r>
      <w:r>
        <w:t xml:space="preserve">the extra-dimensional Firmament coordinates and</w:t>
      </w:r>
      <w:r>
        <w:t xml:space="preserve"> </w:t>
      </w:r>
      <m:oMath>
        <m:r>
          <m:t>S</m:t>
        </m:r>
      </m:oMath>
      <w:r>
        <w:t xml:space="preserve"> </w:t>
      </w:r>
      <w:r>
        <w:t xml:space="preserve">the Zone 1 coordinate. For most practical problems — atomic physics, cosmology, condensed matter — the</w:t>
      </w:r>
      <w:r>
        <w:t xml:space="preserve"> </w:t>
      </w:r>
      <m:oMath>
        <m:r>
          <m:t>ξ</m:t>
        </m:r>
      </m:oMath>
      <w:r>
        <w:t xml:space="preserve"> </w:t>
      </w:r>
      <w:r>
        <w:t xml:space="preserve">and</w:t>
      </w:r>
      <w:r>
        <w:t xml:space="preserve"> </w:t>
      </w:r>
      <m:oMath>
        <m:r>
          <m:t>η</m:t>
        </m:r>
      </m:oMath>
      <w:r>
        <w:t xml:space="preserve"> </w:t>
      </w:r>
      <w:r>
        <w:t xml:space="preserve">dependence is suppressed because the confining potential of Vol. 1 Ch. 5 localizes matter to</w:t>
      </w:r>
      <w:r>
        <w:t xml:space="preserve"> </w:t>
      </w:r>
      <m:oMath>
        <m:r>
          <m:t>η</m:t>
        </m:r>
        <m:r>
          <m:t>≈</m:t>
        </m:r>
        <m:r>
          <m:t>0</m:t>
        </m:r>
      </m:oMath>
      <w:r>
        <w:t xml:space="preserve"> </w:t>
      </w:r>
      <w:r>
        <w:t xml:space="preserve">and</w:t>
      </w:r>
      <w:r>
        <w:t xml:space="preserve"> </w:t>
      </w:r>
      <m:oMath>
        <m:r>
          <m:t>ξ</m:t>
        </m:r>
        <m:r>
          <m:t>≈</m:t>
        </m:r>
        <m:sSub>
          <m:e>
            <m:r>
              <m:t>ξ</m:t>
            </m:r>
          </m:e>
          <m:sub>
            <m:r>
              <m:t>A</m:t>
            </m:r>
          </m:sub>
        </m:sSub>
      </m:oMath>
      <w:r>
        <w:t xml:space="preserve">, and the Zone 1 dependence is suppressed because the</w:t>
      </w:r>
      <w:r>
        <w:t xml:space="preserve"> </w:t>
      </w:r>
      <m:oMath>
        <m:r>
          <m:t>S</m:t>
        </m:r>
      </m:oMath>
      <w:r>
        <w:t xml:space="preserve"> </w:t>
      </w:r>
      <w:r>
        <w:t xml:space="preserve">degrees of freedom are decoupled from most brane-side processes. What is left is the familiar 4D quantum mechanics of Vol. 4, which is what we have been doing for most of this series.</w:t>
      </w:r>
    </w:p>
    <w:p>
      <w:pPr>
        <w:pStyle w:val="BodyText"/>
      </w:pPr>
      <w:r>
        <w:t xml:space="preserve">But the total wavefunction is, in principle, a tensor product — a factorization — across each independent sector of the manifold. Schematically,</w:t>
      </w:r>
    </w:p>
    <w:p>
      <w:pPr>
        <w:pStyle w:val="BodyText"/>
      </w:pPr>
      <m:oMathPara>
        <m:oMathParaPr>
          <m:jc m:val="center"/>
        </m:oMathParaPr>
        <m:oMath>
          <m:sSub>
            <m:e>
              <m:r>
                <m:t>Ψ</m:t>
              </m:r>
            </m:e>
            <m:sub>
              <m:r>
                <m:rPr>
                  <m:sty m:val="p"/>
                </m:rPr>
                <m:t>u</m:t>
              </m:r>
              <m:r>
                <m:rPr>
                  <m:sty m:val="p"/>
                </m:rPr>
                <m:t>n</m:t>
              </m:r>
              <m:r>
                <m:rPr>
                  <m:sty m:val="p"/>
                </m:rPr>
                <m:t>i</m:t>
              </m:r>
              <m:r>
                <m:rPr>
                  <m:sty m:val="p"/>
                </m:rPr>
                <m:t>v</m:t>
              </m:r>
              <m:r>
                <m:rPr>
                  <m:sty m:val="p"/>
                </m:rPr>
                <m:t>e</m:t>
              </m:r>
              <m:r>
                <m:rPr>
                  <m:sty m:val="p"/>
                </m:rPr>
                <m:t>r</m:t>
              </m:r>
              <m:r>
                <m:rPr>
                  <m:sty m:val="p"/>
                </m:rPr>
                <m:t>s</m:t>
              </m:r>
              <m:r>
                <m:rPr>
                  <m:sty m:val="p"/>
                </m:rPr>
                <m:t>e</m:t>
              </m:r>
            </m:sub>
          </m:sSub>
          <m:r>
            <m:t>=</m:t>
          </m:r>
          <m:sSub>
            <m:e>
              <m:r>
                <m:t>Ψ</m:t>
              </m:r>
            </m:e>
            <m:sub>
              <m:r>
                <m:rPr>
                  <m:sty m:val="p"/>
                </m:rPr>
                <m:t>b</m:t>
              </m:r>
              <m:r>
                <m:rPr>
                  <m:sty m:val="p"/>
                </m:rPr>
                <m:t>r</m:t>
              </m:r>
              <m:r>
                <m:rPr>
                  <m:sty m:val="p"/>
                </m:rPr>
                <m:t>a</m:t>
              </m:r>
              <m:r>
                <m:rPr>
                  <m:sty m:val="p"/>
                </m:rPr>
                <m:t>n</m:t>
              </m:r>
              <m:r>
                <m:rPr>
                  <m:sty m:val="p"/>
                </m:rPr>
                <m:t>e</m:t>
              </m:r>
            </m:sub>
          </m:sSub>
          <m:r>
            <m:t>(</m:t>
          </m:r>
          <m:acc>
            <m:accPr>
              <m:chr m:val="⃗"/>
            </m:accPr>
            <m:e>
              <m:r>
                <m:t>r</m:t>
              </m:r>
            </m:e>
          </m:acc>
          <m:r>
            <m:t>,</m:t>
          </m:r>
          <m:r>
            <m:t>t</m:t>
          </m:r>
          <m:r>
            <m:t>)</m:t>
          </m:r>
          <m:r>
            <m:t>⊗</m:t>
          </m:r>
          <m:sSub>
            <m:e>
              <m:r>
                <m:t>Ψ</m:t>
              </m:r>
            </m:e>
            <m:sub>
              <m:r>
                <m:rPr>
                  <m:sty m:val="p"/>
                </m:rPr>
                <m:t>e</m:t>
              </m:r>
              <m:r>
                <m:rPr>
                  <m:sty m:val="p"/>
                </m:rPr>
                <m:t>x</m:t>
              </m:r>
              <m:r>
                <m:rPr>
                  <m:sty m:val="p"/>
                </m:rPr>
                <m:t>t</m:t>
              </m:r>
              <m:r>
                <m:rPr>
                  <m:sty m:val="p"/>
                </m:rPr>
                <m:t>r</m:t>
              </m:r>
              <m:r>
                <m:rPr>
                  <m:sty m:val="p"/>
                </m:rPr>
                <m:t>a</m:t>
              </m:r>
            </m:sub>
          </m:sSub>
          <m:r>
            <m:t>(</m:t>
          </m:r>
          <m:r>
            <m:t>ξ</m:t>
          </m:r>
          <m:r>
            <m:t>,</m:t>
          </m:r>
          <m:r>
            <m:t>η</m:t>
          </m:r>
          <m:r>
            <m:t>)</m:t>
          </m:r>
          <m:r>
            <m:t>⊗</m:t>
          </m:r>
          <m:sSub>
            <m:e>
              <m:r>
                <m:t>Ψ</m:t>
              </m:r>
            </m:e>
            <m:sub>
              <m:r>
                <m:t>Z</m:t>
              </m:r>
              <m:r>
                <m:t>1</m:t>
              </m:r>
            </m:sub>
          </m:sSub>
          <m:r>
            <m:t>(</m:t>
          </m:r>
          <m:r>
            <m:t>S</m:t>
          </m:r>
          <m:r>
            <m:t>)</m:t>
          </m:r>
          <m:r>
            <m:t>.</m:t>
          </m:r>
          <m:r>
            <m:t> </m:t>
          </m:r>
          <m:r>
            <m:t>(</m:t>
          </m:r>
          <m:r>
            <m:t>13.3</m:t>
          </m:r>
          <m:r>
            <m:t>.4</m:t>
          </m:r>
          <m:r>
            <m:t>)</m:t>
          </m:r>
        </m:oMath>
      </m:oMathPara>
    </w:p>
    <w:p>
      <w:pPr>
        <w:pStyle w:val="FirstParagraph"/>
      </w:pPr>
      <w:r>
        <w:t xml:space="preserve">Most of the time,</w:t>
      </w:r>
      <w:r>
        <w:t xml:space="preserve"> </w:t>
      </w:r>
      <m:oMath>
        <m:sSub>
          <m:e>
            <m:r>
              <m:t>Ψ</m:t>
            </m:r>
          </m:e>
          <m:sub>
            <m:r>
              <m:rPr>
                <m:sty m:val="p"/>
              </m:rPr>
              <m:t>e</m:t>
            </m:r>
            <m:r>
              <m:rPr>
                <m:sty m:val="p"/>
              </m:rPr>
              <m:t>x</m:t>
            </m:r>
            <m:r>
              <m:rPr>
                <m:sty m:val="p"/>
              </m:rPr>
              <m:t>t</m:t>
            </m:r>
            <m:r>
              <m:rPr>
                <m:sty m:val="p"/>
              </m:rPr>
              <m:t>r</m:t>
            </m:r>
            <m:r>
              <m:rPr>
                <m:sty m:val="p"/>
              </m:rPr>
              <m:t>a</m:t>
            </m:r>
          </m:sub>
        </m:sSub>
      </m:oMath>
      <w:r>
        <w:t xml:space="preserve"> </w:t>
      </w:r>
      <w:r>
        <w:t xml:space="preserve">and</w:t>
      </w:r>
      <w:r>
        <w:t xml:space="preserve"> </w:t>
      </w:r>
      <m:oMath>
        <m:sSub>
          <m:e>
            <m:r>
              <m:t>Ψ</m:t>
            </m:r>
          </m:e>
          <m:sub>
            <m:r>
              <m:t>Z</m:t>
            </m:r>
            <m:r>
              <m:t>1</m:t>
            </m:r>
          </m:sub>
        </m:sSub>
      </m:oMath>
      <w:r>
        <w:t xml:space="preserve"> </w:t>
      </w:r>
      <w:r>
        <w:t xml:space="preserve">are trivial factors (the ground states of whatever Hamiltonian acts in those sectors) and can be dropped. But for specific subsystems, the bulk factors can become non-trivial. The question this chapter raises is:</w:t>
      </w:r>
      <w:r>
        <w:t xml:space="preserve"> </w:t>
      </w:r>
      <w:r>
        <w:rPr>
          <w:b/>
        </w:rPr>
        <w:t xml:space="preserve">for the subsystem we call</w:t>
      </w:r>
      <w:r>
        <w:rPr>
          <w:b/>
        </w:rPr>
        <w:t xml:space="preserve"> </w:t>
      </w:r>
      <w:r>
        <w:rPr>
          <w:b/>
        </w:rPr>
        <w:t xml:space="preserve">“</w:t>
      </w:r>
      <w:r>
        <w:rPr>
          <w:b/>
        </w:rPr>
        <w:t xml:space="preserve">a conscious being,</w:t>
      </w:r>
      <w:r>
        <w:rPr>
          <w:b/>
        </w:rPr>
        <w:t xml:space="preserve">”</w:t>
      </w:r>
      <w:r>
        <w:rPr>
          <w:b/>
        </w:rPr>
        <w:t xml:space="preserve"> </w:t>
      </w:r>
      <w:r>
        <w:rPr>
          <w:b/>
        </w:rPr>
        <w:t xml:space="preserve">is</w:t>
      </w:r>
      <w:r>
        <w:rPr>
          <w:b/>
        </w:rPr>
        <w:t xml:space="preserve"> </w:t>
      </w:r>
      <m:oMath>
        <m:sSub>
          <m:e>
            <m:r>
              <m:t>Ψ</m:t>
            </m:r>
          </m:e>
          <m:sub>
            <m:r>
              <m:t>Z</m:t>
            </m:r>
            <m:r>
              <m:t>1</m:t>
            </m:r>
          </m:sub>
        </m:sSub>
      </m:oMath>
      <w:r>
        <w:rPr>
          <w:b/>
        </w:rPr>
        <w:t xml:space="preserve"> </w:t>
      </w:r>
      <w:r>
        <w:rPr>
          <w:b/>
        </w:rPr>
        <w:t xml:space="preserve">non-trivial, and if so, what is its structure?</w:t>
      </w:r>
    </w:p>
    <w:p>
      <w:pPr>
        <w:pStyle w:val="BodyText"/>
      </w:pPr>
      <w:r>
        <w:t xml:space="preserve">The framework’s commitment is that for a conscious subsystem,</w:t>
      </w:r>
      <w:r>
        <w:t xml:space="preserve"> </w:t>
      </w:r>
      <m:oMath>
        <m:sSub>
          <m:e>
            <m:r>
              <m:t>Ψ</m:t>
            </m:r>
          </m:e>
          <m:sub>
            <m:r>
              <m:t>Z</m:t>
            </m:r>
            <m:r>
              <m:t>1</m:t>
            </m:r>
          </m:sub>
        </m:sSub>
      </m:oMath>
      <w:r>
        <w:t xml:space="preserve"> </w:t>
      </w:r>
      <w:r>
        <w:t xml:space="preserve">is non-trivial, and we name that non-trivial factor</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w:t>
      </w:r>
    </w:p>
    <w:p>
      <w:pPr>
        <w:pStyle w:val="BodyText"/>
      </w:pPr>
      <m:oMathPara>
        <m:oMathParaPr>
          <m:jc m:val="center"/>
        </m:oMathParaP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r>
            <m:t>,</m:t>
          </m:r>
          <m:r>
            <m:t> </m:t>
          </m:r>
          <m:r>
            <m:t>(</m:t>
          </m:r>
          <m:r>
            <m:t>13.3</m:t>
          </m:r>
          <m:r>
            <m:t>.5</m:t>
          </m:r>
          <m:r>
            <m:t>)</m:t>
          </m:r>
        </m:oMath>
      </m:oMathPara>
    </w:p>
    <w:p>
      <w:pPr>
        <w:pStyle w:val="FirstParagraph"/>
      </w:pPr>
      <w:r>
        <w:t xml:space="preserve">where we have absorbed the trivial</w:t>
      </w:r>
      <w:r>
        <w:t xml:space="preserve"> </w:t>
      </w:r>
      <m:oMath>
        <m:sSub>
          <m:e>
            <m:r>
              <m:t>Ψ</m:t>
            </m:r>
          </m:e>
          <m:sub>
            <m:r>
              <m:rPr>
                <m:sty m:val="p"/>
              </m:rPr>
              <m:t>e</m:t>
            </m:r>
            <m:r>
              <m:rPr>
                <m:sty m:val="p"/>
              </m:rPr>
              <m:t>x</m:t>
            </m:r>
            <m:r>
              <m:rPr>
                <m:sty m:val="p"/>
              </m:rPr>
              <m:t>t</m:t>
            </m:r>
            <m:r>
              <m:rPr>
                <m:sty m:val="p"/>
              </m:rPr>
              <m:t>r</m:t>
            </m:r>
            <m:r>
              <m:rPr>
                <m:sty m:val="p"/>
              </m:rPr>
              <m:t>a</m:t>
            </m:r>
          </m:sub>
        </m:sSub>
      </m:oMath>
      <w:r>
        <w:t xml:space="preserve"> </w:t>
      </w:r>
      <w:r>
        <w:t xml:space="preserve">factor into</w:t>
      </w:r>
      <w:r>
        <w:t xml:space="preserve"> </w:t>
      </w:r>
      <m:oMath>
        <m:sSub>
          <m:e>
            <m:r>
              <m:t>Ψ</m:t>
            </m:r>
          </m:e>
          <m:sub>
            <m:r>
              <m:rPr>
                <m:sty m:val="p"/>
              </m:rPr>
              <m:t>b</m:t>
            </m:r>
            <m:r>
              <m:rPr>
                <m:sty m:val="p"/>
              </m:rPr>
              <m:t>o</m:t>
            </m:r>
            <m:r>
              <m:rPr>
                <m:sty m:val="p"/>
              </m:rPr>
              <m:t>d</m:t>
            </m:r>
            <m:r>
              <m:rPr>
                <m:sty m:val="p"/>
              </m:rPr>
              <m:t>y</m:t>
            </m:r>
          </m:sub>
        </m:sSub>
      </m:oMath>
      <w:r>
        <w:t xml:space="preserve"> </w:t>
      </w:r>
      <w:r>
        <w:t xml:space="preserve">for notational brevity (the extra-dimensional degrees of freedom are confining and do not carry independent consciousness-relevant information; they are part of what makes the body the body).</w:t>
      </w:r>
    </w:p>
    <w:p>
      <w:pPr>
        <w:pStyle w:val="BodyText"/>
      </w:pPr>
      <w:r>
        <w:t xml:space="preserve">This is the commitment. Let us be precise about what it does and does not add.</w:t>
      </w:r>
    </w:p>
    <w:p>
      <w:pPr>
        <w:pStyle w:val="BodyText"/>
      </w:pPr>
      <w:r>
        <w:rPr>
          <w:b/>
        </w:rPr>
        <w:t xml:space="preserve">What it does not add.</w:t>
      </w:r>
      <w:r>
        <w:t xml:space="preserve"> </w:t>
      </w:r>
      <w:r>
        <w:t xml:space="preserve">It does not add a new axiom to the framework. The zone-manifold factorization Eq. (13.3.4) was already present; the Zone 1 metric Eq. (13.3.2) was already derived; the coupling between the brane and the bulk sectors of a wavefunction was already standard in the 6D formalism of Vol. 1 Ch. 5. All this section does is</w:t>
      </w:r>
      <w:r>
        <w:t xml:space="preserve"> </w:t>
      </w:r>
      <w:r>
        <w:rPr>
          <w:i/>
        </w:rPr>
        <w:t xml:space="preserve">apply</w:t>
      </w:r>
      <w:r>
        <w:t xml:space="preserve"> </w:t>
      </w:r>
      <w:r>
        <w:t xml:space="preserve">the existing structure to the specific subsystem identified as</w:t>
      </w:r>
      <w:r>
        <w:t xml:space="preserve"> </w:t>
      </w:r>
      <w:r>
        <w:t xml:space="preserve">“</w:t>
      </w:r>
      <w:r>
        <w:t xml:space="preserve">conscious being.</w:t>
      </w:r>
      <w:r>
        <w:t xml:space="preserve">”</w:t>
      </w:r>
    </w:p>
    <w:p>
      <w:pPr>
        <w:pStyle w:val="BodyText"/>
      </w:pPr>
      <w:r>
        <w:rPr>
          <w:b/>
        </w:rPr>
        <w:t xml:space="preserve">What it does add.</w:t>
      </w:r>
      <w:r>
        <w:t xml:space="preserve"> </w:t>
      </w:r>
      <w:r>
        <w:t xml:space="preserve">It adds one identification — that the non-trivial bulk factor, for a conscious subsystem, lives in Zone 1 specifically (not Zone 2, Zone 3, or the extra dimensions</w:t>
      </w:r>
      <w:r>
        <w:t xml:space="preserve"> </w:t>
      </w:r>
      <m:oMath>
        <m:r>
          <m:t>ξ</m:t>
        </m:r>
        <m:r>
          <m:t>,</m:t>
        </m:r>
        <m:r>
          <m:t>η</m:t>
        </m:r>
      </m:oMath>
      <w:r>
        <w:t xml:space="preserve">). That identification is motivated by two observations. First, Zones 2 and 3 have timelike directions and therefore admit the usual thermodynamic flows; a bulk factor there would look like ordinary matter, not like the information-only degree of freedom the consciousness framework needs. Second, Zone 1’s atemporal structure is the only zone geometry in the framework that is structurally compatible with the properties commonly attributed to consciousness (unity across brane-time, accessibility from brane-time instants, apparent non-locality under shared-reference conditions). The identification is therefore not arbitrary; it is the unique structurally-consistent placement of the bulk factor.</w:t>
      </w:r>
    </w:p>
    <w:p>
      <w:pPr>
        <w:pStyle w:val="BodyText"/>
      </w:pPr>
      <w:r>
        <w:t xml:space="preserve">But — and this is crucial for the rest of the chapter — the identification is</w:t>
      </w:r>
      <w:r>
        <w:t xml:space="preserve"> </w:t>
      </w:r>
      <w:r>
        <w:rPr>
          <w:i/>
        </w:rPr>
        <w:t xml:space="preserve">motivated</w:t>
      </w:r>
      <w:r>
        <w:t xml:space="preserve">, not</w:t>
      </w:r>
      <w:r>
        <w:t xml:space="preserve"> </w:t>
      </w:r>
      <w:r>
        <w:rPr>
          <w:i/>
        </w:rPr>
        <w:t xml:space="preserve">derived</w:t>
      </w:r>
      <w:r>
        <w:t xml:space="preserve">. The framework does not prove that conscious subsystems must have non-trivial</w:t>
      </w:r>
      <w:r>
        <w:t xml:space="preserve"> </w:t>
      </w:r>
      <m:oMath>
        <m:sSub>
          <m:e>
            <m:r>
              <m:t>Ψ</m:t>
            </m:r>
          </m:e>
          <m:sub>
            <m:r>
              <m:t>Z</m:t>
            </m:r>
            <m:r>
              <m:t>1</m:t>
            </m:r>
          </m:sub>
        </m:sSub>
      </m:oMath>
      <w:r>
        <w:t xml:space="preserve"> </w:t>
      </w:r>
      <w:r>
        <w:t xml:space="preserve">factors. It proposes it. Whether the proposal is correct is an empirical question, and §13.5 will list the predictions by which it could be tested or falsified.</w:t>
      </w:r>
    </w:p>
    <w:p>
      <w:pPr>
        <w:pStyle w:val="Heading3"/>
      </w:pPr>
      <w:bookmarkStart w:id="26" w:name="X7b08cd16a4b5c103ccd64224cf69fada0ac9b53"/>
      <w:r>
        <w:t xml:space="preserve">13.3.3 What Ψ_spirit Is — Three Readings the Framework Does Not Choose Between</w:t>
      </w:r>
      <w:bookmarkEnd w:id="26"/>
    </w:p>
    <w:p>
      <w:pPr>
        <w:pStyle w:val="FirstParagraph"/>
      </w:pPr>
      <w:r>
        <w:t xml:space="preserve">We have introduced the symbol</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r>
          <m:t>(</m:t>
        </m:r>
        <m:r>
          <m:t>S</m:t>
        </m:r>
        <m:r>
          <m:t>)</m:t>
        </m:r>
      </m:oMath>
      <w:r>
        <w:t xml:space="preserve"> </w:t>
      </w:r>
      <w:r>
        <w:t xml:space="preserve">without saying what kind of object it is. This is deliberate. The framework admits at least three readings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and it commits to none of them.</w:t>
      </w:r>
    </w:p>
    <w:p>
      <w:pPr>
        <w:pStyle w:val="BodyText"/>
      </w:pPr>
      <w:r>
        <w:rPr>
          <w:b/>
        </w:rPr>
        <w:t xml:space="preserve">Reading A — Ψ_spirit is a quantum field mode on Zone 1.</w:t>
      </w:r>
      <w:r>
        <w:t xml:space="preserve"> </w:t>
      </w:r>
      <w:r>
        <w:t xml:space="preserve">On this reading,</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an ordinary quantum state — an element of a Hilbert space associated with the Zone 1 sector of the 6D manifold. Its properties (amplitude, phase, entanglement with other sectors) are standard quantum-mechanical. The no-cloning theorem applies; the Schrödinger equation governs evolution (with the specific Zone 1 Hamiltonian); the Born rule gives measurement statistics. Advantages: consistent with the rest of the framework’s quantum mechanics. Disadvantages: requires specifying the Zone 1 Hamiltonian, which is a piece of the framework not yet worked out (Ch. 14 §14.OP-13.4 will flag this).</w:t>
      </w:r>
    </w:p>
    <w:p>
      <w:pPr>
        <w:pStyle w:val="BodyText"/>
      </w:pPr>
      <w:r>
        <w:rPr>
          <w:b/>
        </w:rPr>
        <w:t xml:space="preserve">Reading B — Ψ_spirit is a non-quantum pattern field.</w:t>
      </w:r>
      <w:r>
        <w:t xml:space="preserve"> </w:t>
      </w:r>
      <w:r>
        <w:t xml:space="preserve">On this reading,</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classical configuration — a pattern on the Zone 1 manifold that encodes information but is not a quantum state in the strict Hilbert-space sense. The tensor-product structure in Eq. (13.3.1) is then a schematic notation for a body-state that is additionally indexed by a classical field over Zone 1. Advantages: avoids commitments about Zone 1’s quantum structure. Disadvantages: unclear how the coupling with the brane-side quantum state works if the bulk component is classical.</w:t>
      </w:r>
    </w:p>
    <w:p>
      <w:pPr>
        <w:pStyle w:val="BodyText"/>
      </w:pPr>
      <w:r>
        <w:rPr>
          <w:b/>
        </w:rPr>
        <w:t xml:space="preserve">Reading C — Ψ_spirit is a placeholder for an as-yet-unspecified coupling mechanism.</w:t>
      </w:r>
      <w:r>
        <w:t xml:space="preserve"> </w:t>
      </w:r>
      <w:r>
        <w:t xml:space="preserve">On this reading, the framework acknowledges that it has not fully specified what kind of object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it has specified only that</w:t>
      </w:r>
      <w:r>
        <w:t xml:space="preserve"> </w:t>
      </w:r>
      <w:r>
        <w:rPr>
          <w:i/>
        </w:rPr>
        <w:t xml:space="preserve">some</w:t>
      </w:r>
      <w:r>
        <w:t xml:space="preserve"> </w:t>
      </w:r>
      <w:r>
        <w:t xml:space="preserve">coupling exists between the brane-side and Zone 1-side components of a conscious subsystem, and</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name for the Zone 1 end of that coupling, pending a more complete theory. Advantages: epistemically honest. Disadvantages: makes the framework less predictive in the short term.</w:t>
      </w:r>
    </w:p>
    <w:p>
      <w:pPr>
        <w:pStyle w:val="BodyText"/>
      </w:pPr>
      <w:r>
        <w:t xml:space="preserve">The framework commits to the factorization Eq. (13.3.1); it does not commit to which reading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correct. Different chapters have implicitly used different readings. Chapter 11 §11.5.3’s Zone 1 holographic bound derivation used Reading A (it invoked a quantum-information-theoretic capacity argument that requires Hilbert-space structure). Chapter 12 §12.5’s life-detection derivation used Reading C (it referred to a</w:t>
      </w:r>
      <w:r>
        <w:t xml:space="preserve"> </w:t>
      </w:r>
      <w:r>
        <w:t xml:space="preserve">“</w:t>
      </w:r>
      <w:r>
        <w:t xml:space="preserve">coupling</w:t>
      </w:r>
      <w:r>
        <w:t xml:space="preserve">”</w:t>
      </w:r>
      <w:r>
        <w:t xml:space="preserve"> </w:t>
      </w:r>
      <w:r>
        <w:t xml:space="preserve">without specifying its quantum nature). Chapter 9 §9.6 was agnostic.</w:t>
      </w:r>
    </w:p>
    <w:p>
      <w:pPr>
        <w:pStyle w:val="BodyText"/>
      </w:pPr>
      <w:r>
        <w:t xml:space="preserve">That different chapters have used different readings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weakness of the framework’s consciousness model — not a fatal weakness, because the downstream conclusions of each chapter do not depend on which reading is correct, but a real weakness worth marking. Chapter 14 §14.OP-13.4 identifies the choice among Readings A/B/C as one of the framework’s thesis-buildable open problems.</w:t>
      </w:r>
    </w:p>
    <w:p>
      <w:pPr>
        <w:pStyle w:val="Heading3"/>
      </w:pPr>
      <w:bookmarkStart w:id="27" w:name="X34323807c2a0287c6208677f6f29628bef83589"/>
      <w:r>
        <w:t xml:space="preserve">13.3.4 Shared Zone 1 Connection Points Between Agents</w:t>
      </w:r>
      <w:bookmarkEnd w:id="27"/>
    </w:p>
    <w:p>
      <w:pPr>
        <w:pStyle w:val="FirstParagraph"/>
      </w:pPr>
      <w:r>
        <w:t xml:space="preserve">Two conscious subsystems — two agents, if we want a slightly less technical word — each have their own</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configurations on Zone 1. The two configurations can be independent (no overlap on the</w:t>
      </w:r>
      <w:r>
        <w:t xml:space="preserve"> </w:t>
      </w:r>
      <m:oMath>
        <m:r>
          <m:t>S</m:t>
        </m:r>
      </m:oMath>
      <w:r>
        <w:t xml:space="preserve"> </w:t>
      </w:r>
      <w:r>
        <w:t xml:space="preserve">manifold, no shared information-carrying structure) or they can share a</w:t>
      </w:r>
      <w:r>
        <w:t xml:space="preserve"> </w:t>
      </w:r>
      <w:r>
        <w:rPr>
          <w:i/>
        </w:rPr>
        <w:t xml:space="preserve">connection point</w:t>
      </w:r>
      <w:r>
        <w:t xml:space="preserve"> </w:t>
      </w:r>
      <m:oMath>
        <m:sSub>
          <m:e>
            <m:r>
              <m:t>S</m:t>
            </m:r>
          </m:e>
          <m:sub>
            <m:r>
              <m:t>*</m:t>
            </m:r>
          </m:sub>
        </m:sSub>
      </m:oMath>
      <w:r>
        <w:t xml:space="preserve"> </w:t>
      </w:r>
      <w:r>
        <w:t xml:space="preserve">where both agents’ spirit-states have non-negligible amplitude:</w:t>
      </w:r>
    </w:p>
    <w:p>
      <w:pPr>
        <w:pStyle w:val="BodyText"/>
      </w:pPr>
      <m:oMathPara>
        <m:oMathParaPr>
          <m:jc m:val="center"/>
        </m:oMathParaPr>
        <m:oMath>
          <m:sSub>
            <m:e>
              <m:r>
                <m:t>Ψ</m:t>
              </m:r>
            </m:e>
            <m:sub>
              <m:r>
                <m:rPr>
                  <m:sty m:val="p"/>
                </m:rPr>
                <m:t>s</m:t>
              </m:r>
              <m:r>
                <m:rPr>
                  <m:sty m:val="p"/>
                </m:rPr>
                <m:t>p</m:t>
              </m:r>
              <m:r>
                <m:rPr>
                  <m:sty m:val="p"/>
                </m:rPr>
                <m:t>i</m:t>
              </m:r>
              <m:r>
                <m:rPr>
                  <m:sty m:val="p"/>
                </m:rPr>
                <m:t>r</m:t>
              </m:r>
              <m:r>
                <m:rPr>
                  <m:sty m:val="p"/>
                </m:rPr>
                <m:t>i</m:t>
              </m:r>
              <m:r>
                <m:rPr>
                  <m:sty m:val="p"/>
                </m:rPr>
                <m:t>t</m:t>
              </m:r>
              <m:r>
                <m:t>,</m:t>
              </m:r>
              <m:r>
                <m:t>A</m:t>
              </m:r>
            </m:sub>
          </m:sSub>
          <m:r>
            <m:t>(</m:t>
          </m:r>
          <m:sSub>
            <m:e>
              <m:r>
                <m:t>S</m:t>
              </m:r>
            </m:e>
            <m:sub>
              <m:r>
                <m:t>*</m:t>
              </m:r>
            </m:sub>
          </m:sSub>
          <m:r>
            <m:t>)</m:t>
          </m:r>
          <m:r>
            <m:t>≠</m:t>
          </m:r>
          <m:r>
            <m:t>0</m:t>
          </m:r>
          <m:r>
            <m:t>,</m:t>
          </m:r>
          <m:r>
            <m:t> </m:t>
          </m:r>
          <m:sSub>
            <m:e>
              <m:r>
                <m:t>Ψ</m:t>
              </m:r>
            </m:e>
            <m:sub>
              <m:r>
                <m:rPr>
                  <m:sty m:val="p"/>
                </m:rPr>
                <m:t>s</m:t>
              </m:r>
              <m:r>
                <m:rPr>
                  <m:sty m:val="p"/>
                </m:rPr>
                <m:t>p</m:t>
              </m:r>
              <m:r>
                <m:rPr>
                  <m:sty m:val="p"/>
                </m:rPr>
                <m:t>i</m:t>
              </m:r>
              <m:r>
                <m:rPr>
                  <m:sty m:val="p"/>
                </m:rPr>
                <m:t>r</m:t>
              </m:r>
              <m:r>
                <m:rPr>
                  <m:sty m:val="p"/>
                </m:rPr>
                <m:t>i</m:t>
              </m:r>
              <m:r>
                <m:rPr>
                  <m:sty m:val="p"/>
                </m:rPr>
                <m:t>t</m:t>
              </m:r>
              <m:r>
                <m:t>,</m:t>
              </m:r>
              <m:r>
                <m:t>B</m:t>
              </m:r>
            </m:sub>
          </m:sSub>
          <m:r>
            <m:t>(</m:t>
          </m:r>
          <m:sSub>
            <m:e>
              <m:r>
                <m:t>S</m:t>
              </m:r>
            </m:e>
            <m:sub>
              <m:r>
                <m:t>*</m:t>
              </m:r>
            </m:sub>
          </m:sSub>
          <m:r>
            <m:t>)</m:t>
          </m:r>
          <m:r>
            <m:t>≠</m:t>
          </m:r>
          <m:r>
            <m:t>0</m:t>
          </m:r>
          <m:r>
            <m:t>.</m:t>
          </m:r>
          <m:r>
            <m:t> </m:t>
          </m:r>
          <m:r>
            <m:t>(</m:t>
          </m:r>
          <m:r>
            <m:t>13.3</m:t>
          </m:r>
          <m:r>
            <m:t>.6</m:t>
          </m:r>
          <m:r>
            <m:t>)</m:t>
          </m:r>
        </m:oMath>
      </m:oMathPara>
    </w:p>
    <w:p>
      <w:pPr>
        <w:pStyle w:val="FirstParagraph"/>
      </w:pPr>
      <w:r>
        <w:t xml:space="preserve">When two agents share a Zone 1 connection point, the framework calls them</w:t>
      </w:r>
      <w:r>
        <w:t xml:space="preserve"> </w:t>
      </w:r>
      <w:r>
        <w:rPr>
          <w:i/>
        </w:rPr>
        <w:t xml:space="preserve">spirit-entangled at</w:t>
      </w:r>
      <w:r>
        <w:rPr>
          <w:i/>
        </w:rPr>
        <w:t xml:space="preserve"> </w:t>
      </w:r>
      <m:oMath>
        <m:sSub>
          <m:e>
            <m:r>
              <m:t>S</m:t>
            </m:r>
          </m:e>
          <m:sub>
            <m:r>
              <m:t>*</m:t>
            </m:r>
          </m:sub>
        </m:sSub>
      </m:oMath>
      <w:r>
        <w:t xml:space="preserve">. (The name is a term of art; it does not claim any particular ontology for the entanglement.) The shared point is the mathematical structure underlying Ch. 9 §9.6’s consciousness-mediated FTL mechanism and Ch. 11 §11.5’s consciousness communication channel. Without a shared connection point, two agents have no Zone 1-mediated connection; with one, they have an information-carrying link whose properties were worked out in those chapters.</w:t>
      </w:r>
    </w:p>
    <w:p>
      <w:pPr>
        <w:pStyle w:val="BodyText"/>
      </w:pPr>
      <w:r>
        <w:t xml:space="preserve">The shared-connection picture is what Figure 6.13.1 depicts. Two brane-localized bodies, each coupled to a Zone 1 component, meeting at a shared point</w:t>
      </w:r>
      <w:r>
        <w:t xml:space="preserve"> </w:t>
      </w:r>
      <m:oMath>
        <m:sSub>
          <m:e>
            <m:r>
              <m:t>S</m:t>
            </m:r>
          </m:e>
          <m:sub>
            <m:r>
              <m:t>*</m:t>
            </m:r>
          </m:sub>
        </m:sSub>
      </m:oMath>
      <w:r>
        <w:t xml:space="preserve"> </w:t>
      </w:r>
      <w:r>
        <w:t xml:space="preserve">in the atemporal Riemannian manifold. No propagation time between them, because Zone 1 has no time. No energy flow between them, because Zone 1 has no energy. A pattern at</w:t>
      </w:r>
      <w:r>
        <w:t xml:space="preserve"> </w:t>
      </w:r>
      <m:oMath>
        <m:sSub>
          <m:e>
            <m:r>
              <m:t>S</m:t>
            </m:r>
          </m:e>
          <m:sub>
            <m:r>
              <m:t>*</m:t>
            </m:r>
          </m:sub>
        </m:sSub>
      </m:oMath>
      <w:r>
        <w:t xml:space="preserve"> </w:t>
      </w:r>
      <w:r>
        <w:t xml:space="preserve">is accessible to both spirits because both have non-zero amplitude there. That is the entire picture; everything downstream in Ch. 9/11/12 is application.</w:t>
      </w:r>
    </w:p>
    <w:p>
      <w:pPr>
        <w:pStyle w:val="BodyText"/>
      </w:pPr>
      <w:r>
        <w:t xml:space="preserve">[FIGURE: Fig 6.13.1 — Consciousness Wavefunction Factorization Across the Zone Architecture. Schematic. Two human figures stand on the 4D brane (shown as a horizontal slab) at distinct positions. Each figure has a Ψ_body localized on the brane at their position. Perpendicular to the brane, a dashed line from each figure extends into Zone 1 (shown as a second, higher region labeled</w:t>
      </w:r>
      <w:r>
        <w:t xml:space="preserve"> </w:t>
      </w:r>
      <w:r>
        <w:t xml:space="preserve">“</w:t>
      </w:r>
      <w:r>
        <w:t xml:space="preserve">atemporal Riemannian domain, ds²_Z1 = h_SS dS·dS</w:t>
      </w:r>
      <w:r>
        <w:t xml:space="preserve">”</w:t>
      </w:r>
      <w:r>
        <w:t xml:space="preserve">). Each dashed line terminates in a Ψ_spirit density on Zone 1. For the shared case, the two dashed lines converge at a shared point S</w:t>
      </w:r>
      <w:r>
        <w:rPr>
          <w:i/>
        </w:rPr>
        <w:t xml:space="preserve">, where both |Ψ_spirit,A(S</w:t>
      </w:r>
      <w:r>
        <w:t xml:space="preserve">)|² and |Ψ_spirit,B(S</w:t>
      </w:r>
      <w:r>
        <w:rPr>
          <w:i/>
        </w:rPr>
        <w:t xml:space="preserve">)|² are non-zero. Annotations: (a) Ψ_consciousness = Ψ_body ⊗ Ψ_spirit (tensor product shown at the brane-Zone 1 interface); (b)</w:t>
      </w:r>
      <w:r>
        <w:rPr>
          <w:i/>
        </w:rPr>
        <w:t xml:space="preserve"> </w:t>
      </w:r>
      <w:r>
        <w:rPr>
          <w:i/>
        </w:rPr>
        <w:t xml:space="preserve">“</w:t>
      </w:r>
      <w:r>
        <w:rPr>
          <w:i/>
        </w:rPr>
        <w:t xml:space="preserve">Zone 1: no timelike direction — no propagation time, no energy flow</w:t>
      </w:r>
      <w:r>
        <w:rPr>
          <w:i/>
        </w:rPr>
        <w:t xml:space="preserve">”</w:t>
      </w:r>
      <w:r>
        <w:rPr>
          <w:i/>
        </w:rPr>
        <w:t xml:space="preserve">; (c) "S</w:t>
      </w:r>
      <w:r>
        <w:t xml:space="preserve">: shared connection point — information-bearing, not energy-bearing." Caption:</w:t>
      </w:r>
      <w:r>
        <w:t xml:space="preserve"> </w:t>
      </w:r>
      <w:r>
        <w:t xml:space="preserve">“</w:t>
      </w:r>
      <w:r>
        <w:t xml:space="preserve">The architecture this chapter states. Everything downstream in Ch 9 §9.6, Ch 11 §11.5, and Ch 12 §12.5 is the application of this picture.</w:t>
      </w:r>
      <w:r>
        <w:t xml:space="preserve">”</w:t>
      </w:r>
      <w:r>
        <w:t xml:space="preserve">]</w:t>
      </w:r>
    </w:p>
    <w:p>
      <w:pPr>
        <w:pStyle w:val="Heading3"/>
      </w:pPr>
      <w:bookmarkStart w:id="28" w:name="Xfb45a1ee6a0c9fa0d294dd44c37c756fbedf465"/>
      <w:r>
        <w:t xml:space="preserve">13.3.5 The Framework’s Theoretical Claim, Stated Once</w:t>
      </w:r>
      <w:bookmarkEnd w:id="28"/>
    </w:p>
    <w:p>
      <w:pPr>
        <w:pStyle w:val="FirstParagraph"/>
      </w:pPr>
      <w:r>
        <w:t xml:space="preserve">We can now state the theoretical claim of this chapter compactly, before the rest of the chapter argues about its implications.</w:t>
      </w:r>
    </w:p>
    <w:p>
      <w:pPr>
        <w:pStyle w:val="BlockText"/>
      </w:pPr>
      <w:r>
        <w:rPr>
          <w:b/>
        </w:rPr>
        <w:t xml:space="preserve">The zone-architecture framework for consciousness.</w:t>
      </w:r>
      <w:r>
        <w:t xml:space="preserve"> </w:t>
      </w:r>
      <w:r>
        <w:t xml:space="preserve">A conscious subsystem has a total wavefunction factorizable as</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where</w:t>
      </w:r>
      <w:r>
        <w:t xml:space="preserve"> </w:t>
      </w:r>
      <m:oMath>
        <m:sSub>
          <m:e>
            <m:r>
              <m:t>Ψ</m:t>
            </m:r>
          </m:e>
          <m:sub>
            <m:r>
              <m:rPr>
                <m:sty m:val="p"/>
              </m:rPr>
              <m:t>b</m:t>
            </m:r>
            <m:r>
              <m:rPr>
                <m:sty m:val="p"/>
              </m:rPr>
              <m:t>o</m:t>
            </m:r>
            <m:r>
              <m:rPr>
                <m:sty m:val="p"/>
              </m:rPr>
              <m:t>d</m:t>
            </m:r>
            <m:r>
              <m:rPr>
                <m:sty m:val="p"/>
              </m:rPr>
              <m:t>y</m:t>
            </m:r>
          </m:sub>
        </m:sSub>
      </m:oMath>
      <w:r>
        <w:t xml:space="preserve"> </w:t>
      </w:r>
      <w:r>
        <w:t xml:space="preserve">is a brane-side quantum state and</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component of the total wavefunction on the Zone 1 Riemannian manifold. The identification of the bulk factor with Zone 1 specifically is the framework’s key theoretical commitment about consciousness. Two conscious subsystems can share a Zone 1 connection point</w:t>
      </w:r>
      <w:r>
        <w:t xml:space="preserve"> </w:t>
      </w:r>
      <m:oMath>
        <m:sSub>
          <m:e>
            <m:r>
              <m:t>S</m:t>
            </m:r>
          </m:e>
          <m:sub>
            <m:r>
              <m:t>*</m:t>
            </m:r>
          </m:sub>
        </m:sSub>
      </m:oMath>
      <w:r>
        <w:t xml:space="preserve">, producing an information-bearing (not energy-bearing) link between the corresponding brane-localized bodies.</w:t>
      </w:r>
    </w:p>
    <w:p>
      <w:pPr>
        <w:pStyle w:val="FirstParagraph"/>
      </w:pPr>
      <w:r>
        <w:t xml:space="preserve">That is it. That is what the framework claims. The rest of the chapter — implications, predictions, connections, open questions — is what follows from this single statement. A reader who wants to reject the claim knows exactly what to reject. A reader who wants to investigate it knows exactly where to begin.</w:t>
      </w:r>
    </w:p>
    <w:p>
      <w:r>
        <w:pict>
          <v:rect style="width:0;height:1.5pt" o:hralign="center" o:hrstd="t" o:hr="t"/>
        </w:pict>
      </w:r>
    </w:p>
    <w:p>
      <w:pPr>
        <w:pStyle w:val="Heading2"/>
      </w:pPr>
      <w:bookmarkStart w:id="29" w:name="X21dae7e3db74768db097a9514d26f2b18c5c3ce"/>
      <w:r>
        <w:t xml:space="preserve">13.4 What the Math Implies — And What It Does Not</w:t>
      </w:r>
      <w:bookmarkEnd w:id="29"/>
    </w:p>
    <w:p>
      <w:pPr>
        <w:pStyle w:val="FirstParagraph"/>
      </w:pPr>
      <w:r>
        <w:t xml:space="preserve">The theoretical claim stated at the end of §13.3 is compact. Its implications are not. Before we enumerate predictions in §13.5 or connect to other chapters in §13.6, the chapter needs to do the discipline work that separates real implications from illegitimate overreach.</w:t>
      </w:r>
    </w:p>
    <w:p>
      <w:pPr>
        <w:pStyle w:val="BodyText"/>
      </w:pPr>
      <w:r>
        <w:t xml:space="preserve">The framework has an implications list and a non-implications list. Both are load-bearing. Every reader should be able to recite the second list as fluently as the first.</w:t>
      </w:r>
    </w:p>
    <w:p>
      <w:pPr>
        <w:pStyle w:val="Heading3"/>
      </w:pPr>
      <w:bookmarkStart w:id="30" w:name="what-the-math-does-imply"/>
      <w:r>
        <w:t xml:space="preserve">13.4.1 What the Math Does Imply</w:t>
      </w:r>
      <w:bookmarkEnd w:id="30"/>
    </w:p>
    <w:p>
      <w:pPr>
        <w:pStyle w:val="FirstParagraph"/>
      </w:pPr>
      <w:r>
        <w:rPr>
          <w:b/>
        </w:rPr>
        <w:t xml:space="preserve">Implication 1 — A non-brane component.</w:t>
      </w:r>
      <w:r>
        <w:t xml:space="preserve"> </w:t>
      </w:r>
      <w:r>
        <w:t xml:space="preserve">If the factorization Eq. (13.3.1) holds, then a conscious subsystem is not fully described by any 4D-brane-side theory alone. There is a component —</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 that lives elsewhere. Any brane-side-only account of consciousness (classical neural activity, electromagnetic field theories of consciousness, purely computational accounts) is then necessarily incomplete; it may capture the brane-side substrate perfectly and still miss the bulk-side component. This is the framework’s deepest departure from the dominant materialist paradigm in contemporary neuroscience, and it is the single implication around which the remaining nine predictions in §13.5 cluster.</w:t>
      </w:r>
    </w:p>
    <w:p>
      <w:pPr>
        <w:pStyle w:val="BodyText"/>
      </w:pPr>
      <w:r>
        <w:rPr>
          <w:b/>
        </w:rPr>
        <w:t xml:space="preserve">Implication 2 — Atemporal structure for the bulk component.</w:t>
      </w:r>
      <w:r>
        <w:t xml:space="preserve"> </w:t>
      </w:r>
      <w:r>
        <w:t xml:space="preserve">The bulk component lives in Zone 1, and Zone 1’s metric is Riemannian with no timelike direction (Eq. 13.3.2). Therefore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an atemporal object in the sense that no temporal ordering is defined on its degrees of freedom. Properties commonly attributed to consciousness — the unity of a subjective moment that integrates information across a specious present, the sense in which memory and anticipation coexist at a single conscious instant — are consistent with this structure in a way they are not fully consistent with a purely 4D-temporal account. Whether the framework actually</w:t>
      </w:r>
      <w:r>
        <w:t xml:space="preserve"> </w:t>
      </w:r>
      <w:r>
        <w:rPr>
          <w:i/>
        </w:rPr>
        <w:t xml:space="preserve">explains</w:t>
      </w:r>
      <w:r>
        <w:t xml:space="preserve"> </w:t>
      </w:r>
      <w:r>
        <w:t xml:space="preserve">those properties is a separate question; the hard problem is not solved by structural consistency (see §13.7). But structural consistency is not nothing.</w:t>
      </w:r>
    </w:p>
    <w:p>
      <w:pPr>
        <w:pStyle w:val="BodyText"/>
      </w:pPr>
      <w:r>
        <w:rPr>
          <w:b/>
        </w:rPr>
        <w:t xml:space="preserve">Implication 3 — Information, not energy, is the carrier.</w:t>
      </w:r>
      <w:r>
        <w:t xml:space="preserve"> </w:t>
      </w:r>
      <w:r>
        <w:t xml:space="preserve">Because Zone 1 has no timelike direction,</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cannot carry energy-momentum through Zone 1. What it can carry is</w:t>
      </w:r>
      <w:r>
        <w:t xml:space="preserve"> </w:t>
      </w:r>
      <w:r>
        <w:rPr>
          <w:i/>
        </w:rPr>
        <w:t xml:space="preserve">information</w:t>
      </w:r>
      <w:r>
        <w:t xml:space="preserve"> </w:t>
      </w:r>
      <w:r>
        <w:t xml:space="preserve">— patterns, correlations, phase and amplitude structure on the</w:t>
      </w:r>
      <w:r>
        <w:t xml:space="preserve"> </w:t>
      </w:r>
      <m:oMath>
        <m:r>
          <m:t>S</m:t>
        </m:r>
      </m:oMath>
      <w:r>
        <w:t xml:space="preserve"> </w:t>
      </w:r>
      <w:r>
        <w:t xml:space="preserve">manifold. This is the source of the</w:t>
      </w:r>
      <w:r>
        <w:t xml:space="preserve"> </w:t>
      </w:r>
      <w:r>
        <w:t xml:space="preserve">“</w:t>
      </w:r>
      <w:r>
        <w:t xml:space="preserve">information-only</w:t>
      </w:r>
      <w:r>
        <w:t xml:space="preserve">”</w:t>
      </w:r>
      <w:r>
        <w:t xml:space="preserve"> </w:t>
      </w:r>
      <w:r>
        <w:t xml:space="preserve">limitation that Ch. 9 §9.6.4 imposed on the FTL consciousness mechanism, Ch. 11 §11.5.5 imposed on the consciousness communication channel, and Ch. 12 §12.5 imposed on life-detection biosignatures. Every application of the framework’s consciousness model in prior chapters has been consistent with this limitation, because the limitation is an implication of the underlying geometry.</w:t>
      </w:r>
    </w:p>
    <w:p>
      <w:pPr>
        <w:pStyle w:val="BodyText"/>
      </w:pPr>
      <w:r>
        <w:rPr>
          <w:b/>
        </w:rPr>
        <w:t xml:space="preserve">Implication 4 — Shared connection points are mathematically permissible.</w:t>
      </w:r>
      <w:r>
        <w:t xml:space="preserve"> </w:t>
      </w:r>
      <w:r>
        <w:t xml:space="preserve">Two</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fields can have overlapping support on the</w:t>
      </w:r>
      <w:r>
        <w:t xml:space="preserve"> </w:t>
      </w:r>
      <m:oMath>
        <m:r>
          <m:t>S</m:t>
        </m:r>
      </m:oMath>
      <w:r>
        <w:t xml:space="preserve"> </w:t>
      </w:r>
      <w:r>
        <w:t xml:space="preserve">manifold, giving rise to the shared connection point</w:t>
      </w:r>
      <w:r>
        <w:t xml:space="preserve"> </w:t>
      </w:r>
      <m:oMath>
        <m:sSub>
          <m:e>
            <m:r>
              <m:t>S</m:t>
            </m:r>
          </m:e>
          <m:sub>
            <m:r>
              <m:t>*</m:t>
            </m:r>
          </m:sub>
        </m:sSub>
      </m:oMath>
      <w:r>
        <w:t xml:space="preserve"> </w:t>
      </w:r>
      <w:r>
        <w:t xml:space="preserve">picture of §13.3.4. This is not an extra assumption; it is just a property of fields on a shared manifold. The framework’s non-trivial claim is that such shared connection points are</w:t>
      </w:r>
      <w:r>
        <w:t xml:space="preserve"> </w:t>
      </w:r>
      <w:r>
        <w:rPr>
          <w:i/>
        </w:rPr>
        <w:t xml:space="preserve">physically instantiated</w:t>
      </w:r>
      <w:r>
        <w:t xml:space="preserve"> </w:t>
      </w:r>
      <w:r>
        <w:t xml:space="preserve">for real pairs of conscious subsystems — but the mathematical permissibility is unambiguous.</w:t>
      </w:r>
    </w:p>
    <w:p>
      <w:pPr>
        <w:pStyle w:val="BodyText"/>
      </w:pPr>
      <w:r>
        <w:rPr>
          <w:b/>
        </w:rPr>
        <w:t xml:space="preserve">Implication 5 — Consistency with the decoherence-based measurement theory.</w:t>
      </w:r>
      <w:r>
        <w:t xml:space="preserve"> </w:t>
      </w:r>
      <w:r>
        <w:t xml:space="preserve">The framework’s account of measurement (§13.2) goes through unchanged whether or not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non-trivial for the observer. Decoherence occurs at the brane–Waters interface and is complete before any Zone 1 coupling enters the picture. The consciousness model of §13.3 is therefore consistent with the measurement-problem resolution of Vol. 4 Ch. 5. They live in different parts of the framework and do not conflict.</w:t>
      </w:r>
    </w:p>
    <w:p>
      <w:pPr>
        <w:pStyle w:val="BodyText"/>
      </w:pPr>
      <w:r>
        <w:rPr>
          <w:b/>
        </w:rPr>
        <w:t xml:space="preserve">Implication 6 — The cross-chapter applications are mutually consistent.</w:t>
      </w:r>
      <w:r>
        <w:t xml:space="preserve"> </w:t>
      </w:r>
      <w:r>
        <w:t xml:space="preserve">Ch. 9 §9.6’s consciousness-as-FTL mechanism, Ch. 11 §11.5’s consciousness-as-communication channel, and Ch. 12 §12.5’s life-detection signature are all applications of the same theoretical framework; they do not contradict each other. The controllability caveat of Ch. 11 §11.5.6 applies uniformly to all three. The information-only limitation applies uniformly. The shared-Zone-1 picture applies uniformly. This mutual consistency is an implication worth noting explicitly, because the downstream convergence prediction P-160 (§13.5) depends on it.</w:t>
      </w:r>
    </w:p>
    <w:p>
      <w:pPr>
        <w:pStyle w:val="Heading3"/>
      </w:pPr>
      <w:bookmarkStart w:id="31" w:name="what-the-math-does-not-imply"/>
      <w:r>
        <w:t xml:space="preserve">13.4.2 What the Math Does Not Imply</w:t>
      </w:r>
      <w:bookmarkEnd w:id="31"/>
    </w:p>
    <w:p>
      <w:pPr>
        <w:pStyle w:val="FirstParagraph"/>
      </w:pPr>
      <w:r>
        <w:t xml:space="preserve">Six implications above. Now the longer list.</w:t>
      </w:r>
    </w:p>
    <w:p>
      <w:pPr>
        <w:pStyle w:val="BodyText"/>
      </w:pPr>
      <w:r>
        <w:rPr>
          <w:b/>
        </w:rPr>
        <w:t xml:space="preserve">Non-implication 1 — The framework does not imply that consciousness exists.</w:t>
      </w:r>
      <w:r>
        <w:t xml:space="preserve"> </w:t>
      </w:r>
      <w:r>
        <w:t xml:space="preserve">That may sound startling. Let us unpack it. The factorization Eq. (13.3.1) is mathematically well-defined whether or not there are any conscious subsystems in the universe. If there are no conscious subsystems, then there are no non-trivial</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factors, and the framework’s consciousness-specific content is vacuous. Whether consciousness exists is an empirical and philosophical question; the framework provides a structural account for consciousness</w:t>
      </w:r>
      <w:r>
        <w:t xml:space="preserve"> </w:t>
      </w:r>
      <w:r>
        <w:rPr>
          <w:i/>
        </w:rPr>
        <w:t xml:space="preserve">if</w:t>
      </w:r>
      <w:r>
        <w:t xml:space="preserve"> </w:t>
      </w:r>
      <w:r>
        <w:t xml:space="preserve">it exists, but it does not prove that it exists. Readers committed to illusionist accounts of consciousness (Frankish 2017, Dennett) can maintain their position without contradicting the framework; they will merely read the framework’s consciousness sections as vacuous or as describing a hypothetical case with no real instances.</w:t>
      </w:r>
    </w:p>
    <w:p>
      <w:pPr>
        <w:pStyle w:val="BodyText"/>
      </w:pPr>
      <w:r>
        <w:rPr>
          <w:b/>
        </w:rPr>
        <w:t xml:space="preserve">Non-implication 2 — The framework does not imply a specific brane-side substrate.</w:t>
      </w:r>
      <w:r>
        <w:t xml:space="preserve"> </w:t>
      </w:r>
      <w:r>
        <w:t xml:space="preserve">The factorization says</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but does not specify what kind of brane-side state</w:t>
      </w:r>
      <w:r>
        <w:t xml:space="preserve"> </w:t>
      </w:r>
      <m:oMath>
        <m:sSub>
          <m:e>
            <m:r>
              <m:t>Ψ</m:t>
            </m:r>
          </m:e>
          <m:sub>
            <m:r>
              <m:rPr>
                <m:sty m:val="p"/>
              </m:rPr>
              <m:t>b</m:t>
            </m:r>
            <m:r>
              <m:rPr>
                <m:sty m:val="p"/>
              </m:rPr>
              <m:t>o</m:t>
            </m:r>
            <m:r>
              <m:rPr>
                <m:sty m:val="p"/>
              </m:rPr>
              <m:t>d</m:t>
            </m:r>
            <m:r>
              <m:rPr>
                <m:sty m:val="p"/>
              </m:rPr>
              <m:t>y</m:t>
            </m:r>
          </m:sub>
        </m:sSub>
      </m:oMath>
      <w:r>
        <w:t xml:space="preserve"> </w:t>
      </w:r>
      <w:r>
        <w:t xml:space="preserve">must be. Is it a state of a biological nervous system? A silicon computer? An arbitrary pattern of matter? The framework does not say. What it does require — and what §13.5’s P-155 and P-158 will make testable — is that</w:t>
      </w:r>
      <w:r>
        <w:t xml:space="preserve"> </w:t>
      </w:r>
      <m:oMath>
        <m:sSub>
          <m:e>
            <m:r>
              <m:t>Ψ</m:t>
            </m:r>
          </m:e>
          <m:sub>
            <m:r>
              <m:rPr>
                <m:sty m:val="p"/>
              </m:rPr>
              <m:t>b</m:t>
            </m:r>
            <m:r>
              <m:rPr>
                <m:sty m:val="p"/>
              </m:rPr>
              <m:t>o</m:t>
            </m:r>
            <m:r>
              <m:rPr>
                <m:sty m:val="p"/>
              </m:rPr>
              <m:t>d</m:t>
            </m:r>
            <m:r>
              <m:rPr>
                <m:sty m:val="p"/>
              </m:rPr>
              <m:t>y</m:t>
            </m:r>
          </m:sub>
        </m:sSub>
      </m:oMath>
      <w:r>
        <w:t xml:space="preserve"> </w:t>
      </w:r>
      <w:r>
        <w:t xml:space="preserve">support sufficient quantum coherence to couple coherently to</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but that is a dynamical requirement, not a substrate requirement. In principle any substrate that maintains the required coherence could qualify. This is a controversial implication and we flag it as such; the framework’s silence on the biological-vs.-artificial question is a genuine silence, not a hidden answer.</w:t>
      </w:r>
    </w:p>
    <w:p>
      <w:pPr>
        <w:pStyle w:val="BodyText"/>
      </w:pPr>
      <w:r>
        <w:rPr>
          <w:b/>
        </w:rPr>
        <w:t xml:space="preserve">Non-implication 3 — The framework does not imply that Ψ_spirit is controllable.</w:t>
      </w:r>
      <w:r>
        <w:t xml:space="preserve"> </w:t>
      </w:r>
      <w:r>
        <w:t xml:space="preserve">This is the single most important non-implication, because it is what distinguishes the framework’s sober presentation of consciousness-as-communication-channel from the parapsychological literature that has historically surrounded such claims. The factorization Eq. (13.3.1) guarantees only that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exists as a wavefunction component. It does not guarantee that the agent whose consciousness is described can voluntarily modulate it. If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as uncontrollable as the outcome of a particle measurement (Ch. 11 §11.2), then the consciousness channel collapses to an entanglement-class channel (no information transmitted), and three applications in this volume become vacuous. Chapter 11 §11.5.6’s Caveat 1 and prediction P-154 in §13.5 are the empirical handles on this non-implication.</w:t>
      </w:r>
    </w:p>
    <w:p>
      <w:pPr>
        <w:pStyle w:val="BodyText"/>
      </w:pPr>
      <w:r>
        <w:rPr>
          <w:b/>
        </w:rPr>
        <w:t xml:space="preserve">Non-implication 4 — The framework does not derive qualia, subjective experience, or the</w:t>
      </w:r>
      <w:r>
        <w:rPr>
          <w:b/>
        </w:rPr>
        <w:t xml:space="preserve"> </w:t>
      </w:r>
      <w:r>
        <w:rPr>
          <w:b/>
        </w:rPr>
        <w:t xml:space="preserve">“</w:t>
      </w:r>
      <w:r>
        <w:rPr>
          <w:b/>
        </w:rPr>
        <w:t xml:space="preserve">feel</w:t>
      </w:r>
      <w:r>
        <w:rPr>
          <w:b/>
        </w:rPr>
        <w:t xml:space="preserve">”</w:t>
      </w:r>
      <w:r>
        <w:rPr>
          <w:b/>
        </w:rPr>
        <w:t xml:space="preserve"> </w:t>
      </w:r>
      <w:r>
        <w:rPr>
          <w:b/>
        </w:rPr>
        <w:t xml:space="preserve">of consciousness.</w:t>
      </w:r>
      <w:r>
        <w:t xml:space="preserve"> </w:t>
      </w:r>
      <w:r>
        <w:t xml:space="preserve">The factorization gives an architecture; it does not give a phenomenology. Whether there is anything it is like to be a conscious subsystem, in Nagel’s phrase, and if so what, are questions the framework does not address. §13.7 will develop this in detail. For now:</w:t>
      </w:r>
      <w:r>
        <w:t xml:space="preserve"> </w:t>
      </w:r>
      <w:r>
        <w:rPr>
          <w:b/>
        </w:rPr>
        <w:t xml:space="preserve">the hard problem of consciousness is not solved by Eq. (13.3.1), and this chapter does not claim that it is</w:t>
      </w:r>
      <w:r>
        <w:t xml:space="preserve">.</w:t>
      </w:r>
    </w:p>
    <w:p>
      <w:pPr>
        <w:pStyle w:val="BodyText"/>
      </w:pPr>
      <w:r>
        <w:rPr>
          <w:b/>
        </w:rPr>
        <w:t xml:space="preserve">Non-implication 5 — The framework does not imply that Zone 1 is</w:t>
      </w:r>
      <w:r>
        <w:rPr>
          <w:b/>
        </w:rPr>
        <w:t xml:space="preserve"> </w:t>
      </w:r>
      <w:r>
        <w:rPr>
          <w:b/>
        </w:rPr>
        <w:t xml:space="preserve">“</w:t>
      </w:r>
      <w:r>
        <w:rPr>
          <w:b/>
        </w:rPr>
        <w:t xml:space="preserve">Heaven</w:t>
      </w:r>
      <w:r>
        <w:rPr>
          <w:b/>
        </w:rPr>
        <w:t xml:space="preserve">”</w:t>
      </w:r>
      <w:r>
        <w:rPr>
          <w:b/>
        </w:rPr>
        <w:t xml:space="preserve"> </w:t>
      </w:r>
      <w:r>
        <w:rPr>
          <w:b/>
        </w:rPr>
        <w:t xml:space="preserve">or that Ψ_spirit is</w:t>
      </w:r>
      <w:r>
        <w:rPr>
          <w:b/>
        </w:rPr>
        <w:t xml:space="preserve"> </w:t>
      </w:r>
      <w:r>
        <w:rPr>
          <w:b/>
        </w:rPr>
        <w:t xml:space="preserve">“</w:t>
      </w:r>
      <w:r>
        <w:rPr>
          <w:b/>
        </w:rPr>
        <w:t xml:space="preserve">the soul.</w:t>
      </w:r>
      <w:r>
        <w:rPr>
          <w:b/>
        </w:rPr>
        <w:t xml:space="preserve">”</w:t>
      </w:r>
      <w:r>
        <w:t xml:space="preserve"> </w:t>
      </w:r>
      <w:r>
        <w:t xml:space="preserve">Two theological identifications are structurally inviting and framework-wise unjustified. Zone 1 is, in the framework, a mathematical domain with specific geometric properties (atemporal, Riemannian, coupled to consciousness by the factorization). Whether it is the Heaven of classical theology, or the</w:t>
      </w:r>
      <w:r>
        <w:t xml:space="preserve"> </w:t>
      </w:r>
      <w:r>
        <w:t xml:space="preserve">“</w:t>
      </w:r>
      <w:r>
        <w:t xml:space="preserve">spirit realm</w:t>
      </w:r>
      <w:r>
        <w:t xml:space="preserve">”</w:t>
      </w:r>
      <w:r>
        <w:t xml:space="preserve"> </w:t>
      </w:r>
      <w:r>
        <w:t xml:space="preserve">of contemporary folk metaphysics, or some other theological category is a question that physics cannot answer and the framework does not pretend to. Similarly</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wavefunction component with specific physical properties; whether it is the soul, the nephesh, the Atman, or any other theological category is again outside the framework’s jurisdiction. §13.8 will develop this theological-humility point in detail.</w:t>
      </w:r>
    </w:p>
    <w:p>
      <w:pPr>
        <w:pStyle w:val="BodyText"/>
      </w:pPr>
      <w:r>
        <w:rPr>
          <w:b/>
        </w:rPr>
        <w:t xml:space="preserve">Non-implication 6 — The framework does not prove or disprove free will.</w:t>
      </w:r>
      <w:r>
        <w:t xml:space="preserve"> </w:t>
      </w:r>
      <w:r>
        <w:t xml:space="preserve">The controllability question (Non-implication 3) is empirically related to free will but is not equivalent to it. Free will is a metaphysical concept with contested definitions; the framework’s controllability question is a physics question with a clean pre-registered test. A positive outcome on P-154 would show that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can be modulated by agents, which is one necessary condition for free will but not a sufficient one. A null outcome would rule out one specific substrate for libertarian free will within the framework, but would not touch compatibilist or skeptical accounts. We mention this because free will will come up in every conversation about the chapter; the mentioning is so that we can set it aside.</w:t>
      </w:r>
    </w:p>
    <w:p>
      <w:pPr>
        <w:pStyle w:val="BodyText"/>
      </w:pPr>
      <w:r>
        <w:rPr>
          <w:b/>
        </w:rPr>
        <w:t xml:space="preserve">Non-implication 7 — The framework does not derive the specific Hilbert-space structure of Ψ_spirit.</w:t>
      </w:r>
      <w:r>
        <w:t xml:space="preserve"> </w:t>
      </w:r>
      <w:r>
        <w:t xml:space="preserve">As discussed in §13.3.3, Readings A/B/C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are not distinguished by the framework at its current state. Certain of §13.5’s predictions depend on Reading A being correct (those involving no-cloning or Holevo capacity arguments); the chapter marks the dependency where it occurs.</w:t>
      </w:r>
    </w:p>
    <w:p>
      <w:pPr>
        <w:pStyle w:val="BodyText"/>
      </w:pPr>
      <w:r>
        <w:rPr>
          <w:b/>
        </w:rPr>
        <w:t xml:space="preserve">Non-implication 8 — The framework does not imply persistence of Ψ_spirit beyond brane-side death.</w:t>
      </w:r>
      <w:r>
        <w:t xml:space="preserve"> </w:t>
      </w:r>
      <w:r>
        <w:t xml:space="preserve">What happens to 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component when a brain dies? The framework’s honest answer is: the math is silent. The factorization Eq. (13.3.1) presumes a functioning</w:t>
      </w:r>
      <w:r>
        <w:t xml:space="preserve"> </w:t>
      </w:r>
      <m:oMath>
        <m:sSub>
          <m:e>
            <m:r>
              <m:t>Ψ</m:t>
            </m:r>
          </m:e>
          <m:sub>
            <m:r>
              <m:rPr>
                <m:sty m:val="p"/>
              </m:rPr>
              <m:t>b</m:t>
            </m:r>
            <m:r>
              <m:rPr>
                <m:sty m:val="p"/>
              </m:rPr>
              <m:t>o</m:t>
            </m:r>
            <m:r>
              <m:rPr>
                <m:sty m:val="p"/>
              </m:rPr>
              <m:t>d</m:t>
            </m:r>
            <m:r>
              <m:rPr>
                <m:sty m:val="p"/>
              </m:rPr>
              <m:t>y</m:t>
            </m:r>
          </m:sub>
        </m:sSub>
      </m:oMath>
      <w:r>
        <w:t xml:space="preserve">; it does not say what happens when</w:t>
      </w:r>
      <w:r>
        <w:t xml:space="preserve"> </w:t>
      </w:r>
      <m:oMath>
        <m:sSub>
          <m:e>
            <m:r>
              <m:t>Ψ</m:t>
            </m:r>
          </m:e>
          <m:sub>
            <m:r>
              <m:rPr>
                <m:sty m:val="p"/>
              </m:rPr>
              <m:t>b</m:t>
            </m:r>
            <m:r>
              <m:rPr>
                <m:sty m:val="p"/>
              </m:rPr>
              <m:t>o</m:t>
            </m:r>
            <m:r>
              <m:rPr>
                <m:sty m:val="p"/>
              </m:rPr>
              <m:t>d</m:t>
            </m:r>
            <m:r>
              <m:rPr>
                <m:sty m:val="p"/>
              </m:rPr>
              <m:t>y</m:t>
            </m:r>
          </m:sub>
        </m:sSub>
      </m:oMath>
      <w:r>
        <w:t xml:space="preserve"> </w:t>
      </w:r>
      <w:r>
        <w:t xml:space="preserve">dissolves. Whether</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persists, dissolves, reintegrates with the Zone 1 field, or something else is not determined by the framework. This is a straightforwardly theological question and we leave it to theology. §13.9’s OP-13.8 lists this as an open research direction for anyone who wants to develop a physics-internal account of discontinuities of consciousness; but the framework’s current silence is not an omission, it is an intentional boundary.</w:t>
      </w:r>
    </w:p>
    <w:p>
      <w:pPr>
        <w:pStyle w:val="Heading3"/>
      </w:pPr>
      <w:bookmarkStart w:id="32" w:name="X8c7ff7556e4cb887e7d5592a173f91fc7c9280b"/>
      <w:r>
        <w:t xml:space="preserve">13.4.3 The Causal Status of Ψ_spirit — Is It Epiphenomenal?</w:t>
      </w:r>
      <w:bookmarkEnd w:id="32"/>
    </w:p>
    <w:p>
      <w:pPr>
        <w:pStyle w:val="FirstParagraph"/>
      </w:pPr>
      <w:r>
        <w:t xml:space="preserve">A careful reader will have reached this point and raised a sharper version of the concerns above. If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carries no energy, produces no brane-side temporal causation (§13.5 P-159, a null prediction), and does not collapse wavefunctions (§13.2), then what causal work does it do at all? Is it not simply epiphenomenal — a mathematical appendix that tracks what is happening on the brane without affecting it?</w:t>
      </w:r>
    </w:p>
    <w:p>
      <w:pPr>
        <w:pStyle w:val="BodyText"/>
      </w:pPr>
      <w:r>
        <w:t xml:space="preserve">The question is legitimate and deserves a direct answer. The framework’s position is that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does causal work of a</w:t>
      </w:r>
      <w:r>
        <w:t xml:space="preserve"> </w:t>
      </w:r>
      <w:r>
        <w:rPr>
          <w:i/>
        </w:rPr>
        <w:t xml:space="preserve">specific, restricted kind</w:t>
      </w:r>
      <w:r>
        <w:t xml:space="preserve">: it carries information between brane-localized agents through shared Zone 1 connection points (§13.3.4), and that information, on the receiving end, enters the brane via the receiving agent’s</w:t>
      </w:r>
      <w:r>
        <w:t xml:space="preserve"> </w:t>
      </w:r>
      <m:oMath>
        <m:sSub>
          <m:e>
            <m:r>
              <m:t>Ψ</m:t>
            </m:r>
          </m:e>
          <m:sub>
            <m:r>
              <m:rPr>
                <m:sty m:val="p"/>
              </m:rPr>
              <m:t>b</m:t>
            </m:r>
            <m:r>
              <m:rPr>
                <m:sty m:val="p"/>
              </m:rPr>
              <m:t>o</m:t>
            </m:r>
            <m:r>
              <m:rPr>
                <m:sty m:val="p"/>
              </m:rPr>
              <m:t>d</m:t>
            </m:r>
            <m:r>
              <m:rPr>
                <m:sty m:val="p"/>
              </m:rPr>
              <m:t>y</m:t>
            </m:r>
          </m:sub>
        </m:sSub>
      </m:oMath>
      <w:r>
        <w:t xml:space="preserve">–</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coupling and becomes a brane-side process (a perception, a decision, a neural firing) with ordinary 4D causal reach from that point forward. What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does not do is push objects, transfer energy, or initiate brane-side processes de novo. What it does do is open a channel for information to move between agents without 4D-local transmission.</w:t>
      </w:r>
    </w:p>
    <w:p>
      <w:pPr>
        <w:pStyle w:val="BodyText"/>
      </w:pPr>
      <w:r>
        <w:t xml:space="preserve">This is a specific kind of causal efficacy: information-bearing, atemporal, and intersubjective rather than intrasubjective. It is not the strong causal role that Wigner-von Neumann assigned to consciousness (causing collapse), and it is not the null role that pure epiphenomenalism assigns (no causal work at all). It is a channel whose causal work is evident in multi-agent contexts (the communication channel of Ch. 11 §11.5, the shared-perception phenomena that P-154 tests) and invisible in single-agent contexts. The framework’s claim is that this restricted causal role is what an architectural-but-not-phenomenological account of consciousness looks like: 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component does enough causal work to be empirically testable, and not so much that it violates the 4D causal closure we observe in the ordinary physical world.</w:t>
      </w:r>
    </w:p>
    <w:p>
      <w:pPr>
        <w:pStyle w:val="BodyText"/>
      </w:pPr>
      <w:r>
        <w:t xml:space="preserve">A reader unsympathetic to this move may still wish to classify</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as epiphenomenal and regard the communication-channel effects as either artefacts or as explicable by ordinary brane-side processes. That is a consistent position, and P-154’s pre-registered null would reduce the framework’s response to it. The framework invites the empirical test precisely because that is how a principled disagreement about causal status is settled in physics.</w:t>
      </w:r>
    </w:p>
    <w:p>
      <w:pPr>
        <w:pStyle w:val="Heading3"/>
      </w:pPr>
      <w:bookmarkStart w:id="33" w:name="X61110743bda7c425645cee27bfed9b7a553efc5"/>
      <w:r>
        <w:t xml:space="preserve">13.4.3 The Implication/Non-Implication Discipline</w:t>
      </w:r>
      <w:bookmarkEnd w:id="33"/>
    </w:p>
    <w:p>
      <w:pPr>
        <w:pStyle w:val="FirstParagraph"/>
      </w:pPr>
      <w:r>
        <w:t xml:space="preserve">Six implications, eight non-implications. The non-implications list is longer than the implications list. That is appropriate for a speculative chapter: what the framework restrains itself from claiming is at least as important as what it claims.</w:t>
      </w:r>
    </w:p>
    <w:p>
      <w:pPr>
        <w:pStyle w:val="BodyText"/>
      </w:pPr>
      <w:r>
        <w:t xml:space="preserve">A reader who wants to test the framework should test the implications. A reader who wants to criticize the framework should attack the implications, not attack it for claims it does not make. Several of the historical criticisms of quantum-consciousness programs (Tegmark’s decoherence argument, Koch’s integrated-information-theory rebuttals, the Churchland family’s functionalist critiques) are addressed — or sometimes dissolved — once the framework’s actual claims and non-claims are separated cleanly. §13.5’s predictions, §13.7’s phenomenology gap, and §13.9’s open problems are each designed to take those criticisms seriously on the framework’s actual terrain.</w:t>
      </w:r>
    </w:p>
    <w:p>
      <w:pPr>
        <w:pStyle w:val="BodyText"/>
      </w:pPr>
      <w:r>
        <w:t xml:space="preserve">What we want to avoid is the pattern — familiar from every previous decade of quantum-consciousness debate — where a critic attributes a strong claim to the framework, the framework’s defenders deny the attribution, the critic points to a passage that could be so read, and the whole debate collapses into interpretive squabbling. The discipline of §13.4.1 and §13.4.2 is meant to foreclose that pattern. The implications are what the framework claims. The non-implications are what it does not. Anything outside those two lists is exegesis, not physics.</w:t>
      </w:r>
    </w:p>
    <w:p>
      <w:pPr>
        <w:pStyle w:val="BodyText"/>
      </w:pPr>
      <w:r>
        <w:t xml:space="preserve">Two positions in contemporary philosophy of mind deserve explicit acknowledgement because they reject the framework’s starting assumptions, not its conclusions.</w:t>
      </w:r>
      <w:r>
        <w:t xml:space="preserve"> </w:t>
      </w:r>
      <w:r>
        <w:rPr>
          <w:b/>
        </w:rPr>
        <w:t xml:space="preserve">Churchland-style eliminative materialism</w:t>
      </w:r>
      <w:r>
        <w:t xml:space="preserve"> </w:t>
      </w:r>
      <w:r>
        <w:t xml:space="preserve">holds that</w:t>
      </w:r>
      <w:r>
        <w:t xml:space="preserve"> </w:t>
      </w:r>
      <w:r>
        <w:t xml:space="preserve">“</w:t>
      </w:r>
      <w:r>
        <w:t xml:space="preserve">consciousness</w:t>
      </w:r>
      <w:r>
        <w:t xml:space="preserve">”</w:t>
      </w:r>
      <w:r>
        <w:t xml:space="preserve"> </w:t>
      </w:r>
      <w:r>
        <w:t xml:space="preserve">as a theoretical kind is destined to be replaced by more precise neural concepts, and that any framework positing a non-brane-side component is chasing a category that will not survive mature neuroscience. The framework’s reply: if eliminative materialism is correct, then the factorization Eq. (13.3.1) has no non-trivial instances, P-154 yields null at the strongest sensitivity, and the framework’s consciousness sections are vacuous as claimed in Non-implication 1. This is a clean, falsifiable disagreement.</w:t>
      </w:r>
      <w:r>
        <w:t xml:space="preserve"> </w:t>
      </w:r>
      <w:r>
        <w:rPr>
          <w:b/>
        </w:rPr>
        <w:t xml:space="preserve">Dennettian illusionism</w:t>
      </w:r>
      <w:r>
        <w:t xml:space="preserve"> </w:t>
      </w:r>
      <w:r>
        <w:t xml:space="preserve">holds that there is no phenomenal consciousness to explain — that the appearance of subjective experience is a cognitive artefact without qualia proper. The framework is compatible with illusionism in the sense that it makes no claims about qualia (§13.7); where the frameworks differ is on whether the factorization Eq. (13.3.1) has non-trivial instances, which is again an empirical question of P-154 through P-158. Neither position is addressed in detail in this chapter because the chapter’s job is to state what the framework claims, not to litigate every rival metaphysics. §13.9’s OP-13.5 flags a full engagement with the major consciousness theories as thesis-worthy work.</w:t>
      </w:r>
    </w:p>
    <w:p>
      <w:pPr>
        <w:pStyle w:val="BodyText"/>
      </w:pPr>
      <w:r>
        <w:t xml:space="preserve">With the implications and non-implications on the table, we can now produce the testable predictions.</w:t>
      </w:r>
    </w:p>
    <w:p>
      <w:r>
        <w:pict>
          <v:rect style="width:0;height:1.5pt" o:hralign="center" o:hrstd="t" o:hr="t"/>
        </w:pict>
      </w:r>
    </w:p>
    <w:p>
      <w:pPr>
        <w:pStyle w:val="Heading2"/>
      </w:pPr>
      <w:bookmarkStart w:id="34" w:name="testable-predictions"/>
      <w:r>
        <w:t xml:space="preserve">13.5 Testable Predictions</w:t>
      </w:r>
      <w:bookmarkEnd w:id="34"/>
    </w:p>
    <w:p>
      <w:pPr>
        <w:pStyle w:val="FirstParagraph"/>
      </w:pPr>
      <w:r>
        <w:t xml:space="preserve">A framework that invokes consciousness in three chapters but makes no predictions about consciousness itself is doing philosophy of mind, not physics. This section produces the predictions the underlying model generates, so that the applications in Ch. 9, 11, and 12 rest on empirically-accessible terrain.</w:t>
      </w:r>
    </w:p>
    <w:p>
      <w:pPr>
        <w:pStyle w:val="BodyText"/>
      </w:pPr>
      <w:r>
        <w:t xml:space="preserve">Ten predictions follow, numbered P-154 through P-163, with quantitative falsification thresholds. Most are</w:t>
      </w:r>
      <w:r>
        <w:t xml:space="preserve"> </w:t>
      </w:r>
      <w:r>
        <w:rPr>
          <w:b/>
        </w:rPr>
        <w:t xml:space="preserve">novel</w:t>
      </w:r>
      <w:r>
        <w:t xml:space="preserve"> </w:t>
      </w:r>
      <w:r>
        <w:t xml:space="preserve">(the framework predicts a specific effect); several are</w:t>
      </w:r>
      <w:r>
        <w:t xml:space="preserve"> </w:t>
      </w:r>
      <w:r>
        <w:rPr>
          <w:b/>
        </w:rPr>
        <w:t xml:space="preserve">null</w:t>
      </w:r>
      <w:r>
        <w:t xml:space="preserve"> </w:t>
      </w:r>
      <w:r>
        <w:t xml:space="preserve">(the framework predicts the absence of an effect); two are</w:t>
      </w:r>
      <w:r>
        <w:t xml:space="preserve"> </w:t>
      </w:r>
      <w:r>
        <w:rPr>
          <w:b/>
        </w:rPr>
        <w:t xml:space="preserve">conditional</w:t>
      </w:r>
      <w:r>
        <w:t xml:space="preserve"> </w:t>
      </w:r>
      <w:r>
        <w:t xml:space="preserve">(the framework’s consciousness applications stand or fall with empirical findings elsewhere in the catalogue). All are modest. We mark each with its classification.</w:t>
      </w:r>
    </w:p>
    <w:p>
      <w:pPr>
        <w:pStyle w:val="Heading3"/>
      </w:pPr>
      <w:bookmarkStart w:id="35" w:name="X9ada2dae6f5d15647f551cf21014136a4e55520"/>
      <w:r>
        <w:t xml:space="preserve">13.5.1 Controllability and the PEAR-Class Experiments</w:t>
      </w:r>
      <w:bookmarkEnd w:id="35"/>
    </w:p>
    <w:p>
      <w:pPr>
        <w:pStyle w:val="FirstParagraph"/>
      </w:pPr>
      <w:r>
        <w:t xml:space="preserve">The single most empirically accessible question the framework generates is whether</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controllable by its agent at a level distinguishable from chance. The question is empirically old — the Princeton Engineering Anomalies Research (PEAR) program ran for nearly three decades with mixed and widely-contested results — and methodologically fraught. But it is not unanswerable, and the framework permits a specific conditional prediction.</w:t>
      </w:r>
    </w:p>
    <w:p>
      <w:pPr>
        <w:pStyle w:val="BlockText"/>
      </w:pPr>
      <w:r>
        <w:rPr>
          <w:b/>
        </w:rPr>
        <w:t xml:space="preserve">P-154: Volitional bit-encoding threshold.</w:t>
      </w:r>
      <w:r>
        <w:t xml:space="preserve"> </w:t>
      </w:r>
      <w:r>
        <w:t xml:space="preserve">If the zone-architecture consciousness framework is correct and if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admits non-trivial volitional control, then in a pre-registered, adequately powered, adversarially reviewed protocol — RNG source with NIST-traceable validation, blinded-and-randomized trial sequence, target sample size</w:t>
      </w:r>
      <w:r>
        <w:t xml:space="preserve"> </w:t>
      </w:r>
      <m:oMath>
        <m:r>
          <m:t>N</m:t>
        </m:r>
        <m:r>
          <m:t>≥</m:t>
        </m:r>
        <m:sSup>
          <m:e>
            <m:r>
              <m:t>10</m:t>
            </m:r>
          </m:e>
          <m:sup>
            <m:r>
              <m:t>6</m:t>
            </m:r>
          </m:sup>
        </m:sSup>
      </m:oMath>
      <w:r>
        <w:t xml:space="preserve">, effect-size target</w:t>
      </w:r>
      <w:r>
        <w:t xml:space="preserve"> </w:t>
      </w:r>
      <m:oMath>
        <m:r>
          <m:t>d</m:t>
        </m:r>
        <m:r>
          <m:t>=</m:t>
        </m:r>
        <m:sSup>
          <m:e>
            <m:r>
              <m:t>10</m:t>
            </m:r>
          </m:e>
          <m:sup>
            <m:r>
              <m:t>−</m:t>
            </m:r>
            <m:r>
              <m:t>3</m:t>
            </m:r>
          </m:sup>
        </m:sSup>
      </m:oMath>
      <w:r>
        <w:t xml:space="preserve"> </w:t>
      </w:r>
      <w:r>
        <w:t xml:space="preserve">bit per trial — a statistical signal of volitional encoding appears at</w:t>
      </w:r>
      <w:r>
        <w:t xml:space="preserve"> </w:t>
      </w:r>
      <m:oMath>
        <m:r>
          <m:t>p</m:t>
        </m:r>
        <m:r>
          <m:t>&lt;</m:t>
        </m:r>
        <m:sSup>
          <m:e>
            <m:r>
              <m:t>10</m:t>
            </m:r>
          </m:e>
          <m:sup>
            <m:r>
              <m:t>−</m:t>
            </m:r>
            <m:r>
              <m:t>3</m:t>
            </m:r>
          </m:sup>
        </m:sSup>
      </m:oMath>
      <w:r>
        <w:t xml:space="preserve">.</w:t>
      </w:r>
      <w:r>
        <w:t xml:space="preserve"> </w:t>
      </w:r>
      <w:r>
        <w:rPr>
          <w:b/>
        </w:rPr>
        <w:t xml:space="preserve">Falsification threshold:</w:t>
      </w:r>
      <w:r>
        <w:t xml:space="preserve"> </w:t>
      </w:r>
      <w:r>
        <w:t xml:space="preserve">a pre-registered protocol at</w:t>
      </w:r>
      <w:r>
        <w:t xml:space="preserve"> </w:t>
      </w:r>
      <m:oMath>
        <m:r>
          <m:t>N</m:t>
        </m:r>
        <m:r>
          <m:t>=</m:t>
        </m:r>
        <m:sSup>
          <m:e>
            <m:r>
              <m:t>10</m:t>
            </m:r>
          </m:e>
          <m:sup>
            <m:r>
              <m:t>6</m:t>
            </m:r>
          </m:sup>
        </m:sSup>
      </m:oMath>
      <w:r>
        <w:t xml:space="preserve"> </w:t>
      </w:r>
      <w:r>
        <w:t xml:space="preserve">with effect-size sensitivity</w:t>
      </w:r>
      <w:r>
        <w:t xml:space="preserve"> </w:t>
      </w:r>
      <m:oMath>
        <m:r>
          <m:t>d</m:t>
        </m:r>
        <m:r>
          <m:t>=</m:t>
        </m:r>
        <m:sSup>
          <m:e>
            <m:r>
              <m:t>10</m:t>
            </m:r>
          </m:e>
          <m:sup>
            <m:r>
              <m:t>−</m:t>
            </m:r>
            <m:r>
              <m:t>4</m:t>
            </m:r>
          </m:sup>
        </m:sSup>
      </m:oMath>
      <w:r>
        <w:t xml:space="preserve"> </w:t>
      </w:r>
      <w:r>
        <w:t xml:space="preserve">that yields a null result at</w:t>
      </w:r>
      <w:r>
        <w:t xml:space="preserve"> </w:t>
      </w:r>
      <m:oMath>
        <m:r>
          <m:t>p</m:t>
        </m:r>
        <m:r>
          <m:t>&gt;</m:t>
        </m:r>
        <m:r>
          <m:t>0.05</m:t>
        </m:r>
      </m:oMath>
      <w:r>
        <w:t xml:space="preserve"> </w:t>
      </w:r>
      <w:r>
        <w:t xml:space="preserve">tightens the controllability caveat to the point where the consciousness communication channel of Ch. 11 §11.5 is vacuous as a practical matter. A pre-registered null at</w:t>
      </w:r>
      <w:r>
        <w:t xml:space="preserve"> </w:t>
      </w:r>
      <m:oMath>
        <m:r>
          <m:t>d</m:t>
        </m:r>
        <m:r>
          <m:t>=</m:t>
        </m:r>
        <m:sSup>
          <m:e>
            <m:r>
              <m:t>10</m:t>
            </m:r>
          </m:e>
          <m:sup>
            <m:r>
              <m:t>−</m:t>
            </m:r>
            <m:r>
              <m:t>6</m:t>
            </m:r>
          </m:sup>
        </m:sSup>
      </m:oMath>
      <w:r>
        <w:t xml:space="preserve"> </w:t>
      </w:r>
      <w:r>
        <w:t xml:space="preserve">effectively falsifies the channel interpretation of the framework’s consciousness model (though, importantly, does not falsify the factorization Eq. (13.3.1) itself, which could still hold with</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present but uncontrollable).</w:t>
      </w:r>
      <w:r>
        <w:t xml:space="preserve"> </w:t>
      </w:r>
      <w:r>
        <w:rPr>
          <w:b/>
        </w:rPr>
        <w:t xml:space="preserve">Classification: NOVEL.</w:t>
      </w:r>
    </w:p>
    <w:p>
      <w:pPr>
        <w:pStyle w:val="FirstParagraph"/>
      </w:pPr>
      <w:r>
        <w:t xml:space="preserve">P-154 is essentially P-131 from Ch. 11 §11.5.9, restated here as the</w:t>
      </w:r>
      <w:r>
        <w:t xml:space="preserve"> </w:t>
      </w:r>
      <w:r>
        <w:rPr>
          <w:i/>
        </w:rPr>
        <w:t xml:space="preserve">foundational</w:t>
      </w:r>
      <w:r>
        <w:t xml:space="preserve"> </w:t>
      </w:r>
      <w:r>
        <w:t xml:space="preserve">prediction on which Ch. 11’s communication channel depends. We reproduce it here rather than cross-reference it because §13.6’s cross-chapter dependency analysis will treat P-154 as load-bearing for three other applications.</w:t>
      </w:r>
    </w:p>
    <w:p>
      <w:pPr>
        <w:pStyle w:val="BodyText"/>
      </w:pPr>
      <w:r>
        <w:t xml:space="preserve">The honest scientific status of P-154 deserves a remark. PEAR-class experiments have a controversial history, including at least one major meta-analysis suggesting that the effect, if real, is smaller than the</w:t>
      </w:r>
      <w:r>
        <w:t xml:space="preserve"> </w:t>
      </w:r>
      <m:oMath>
        <m:r>
          <m:t>d</m:t>
        </m:r>
        <m:r>
          <m:t>=</m:t>
        </m:r>
        <m:sSup>
          <m:e>
            <m:r>
              <m:t>10</m:t>
            </m:r>
          </m:e>
          <m:sup>
            <m:r>
              <m:t>−</m:t>
            </m:r>
            <m:r>
              <m:t>3</m:t>
            </m:r>
          </m:sup>
        </m:sSup>
      </m:oMath>
      <w:r>
        <w:t xml:space="preserve"> </w:t>
      </w:r>
      <w:r>
        <w:t xml:space="preserve">target and methodologically difficult to isolate from experimenter biases. We are not endorsing the PEAR program’s existing evidence base. We are proposing that a modern, pre-registered, adversarially reviewed replication at the</w:t>
      </w:r>
      <w:r>
        <w:t xml:space="preserve"> </w:t>
      </w:r>
      <m:oMath>
        <m:r>
          <m:t>N</m:t>
        </m:r>
        <m:r>
          <m:t>=</m:t>
        </m:r>
        <m:sSup>
          <m:e>
            <m:r>
              <m:t>10</m:t>
            </m:r>
          </m:e>
          <m:sup>
            <m:r>
              <m:t>6</m:t>
            </m:r>
          </m:sup>
        </m:sSup>
      </m:oMath>
      <w:r>
        <w:t xml:space="preserve"> </w:t>
      </w:r>
      <w:r>
        <w:t xml:space="preserve">scale — expensive, but not prohibitive for a dedicated research program — would resolve the controllability question with the statistical sharpness the framework requires. A well-powered null result would be, for this framework, the most consequential single outcome of any experimental program.</w:t>
      </w:r>
    </w:p>
    <w:p>
      <w:pPr>
        <w:pStyle w:val="Heading3"/>
      </w:pPr>
      <w:bookmarkStart w:id="36" w:name="neural-quantum-coherence-signatures"/>
      <w:r>
        <w:t xml:space="preserve">13.5.2 Neural Quantum-Coherence Signatures</w:t>
      </w:r>
      <w:bookmarkEnd w:id="36"/>
    </w:p>
    <w:p>
      <w:pPr>
        <w:pStyle w:val="FirstParagraph"/>
      </w:pPr>
      <w:r>
        <w:t xml:space="preserve">If the conscious subsystem’s brane-side component</w:t>
      </w:r>
      <w:r>
        <w:t xml:space="preserve"> </w:t>
      </w:r>
      <m:oMath>
        <m:sSub>
          <m:e>
            <m:r>
              <m:t>Ψ</m:t>
            </m:r>
          </m:e>
          <m:sub>
            <m:r>
              <m:rPr>
                <m:sty m:val="p"/>
              </m:rPr>
              <m:t>b</m:t>
            </m:r>
            <m:r>
              <m:rPr>
                <m:sty m:val="p"/>
              </m:rPr>
              <m:t>o</m:t>
            </m:r>
            <m:r>
              <m:rPr>
                <m:sty m:val="p"/>
              </m:rPr>
              <m:t>d</m:t>
            </m:r>
            <m:r>
              <m:rPr>
                <m:sty m:val="p"/>
              </m:rPr>
              <m:t>y</m:t>
            </m:r>
          </m:sub>
        </m:sSub>
      </m:oMath>
      <w:r>
        <w:t xml:space="preserve"> </w:t>
      </w:r>
      <w:r>
        <w:t xml:space="preserve">must couple coherently to its Zone 1 component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then</w:t>
      </w:r>
      <w:r>
        <w:t xml:space="preserve"> </w:t>
      </w:r>
      <m:oMath>
        <m:sSub>
          <m:e>
            <m:r>
              <m:t>Ψ</m:t>
            </m:r>
          </m:e>
          <m:sub>
            <m:r>
              <m:rPr>
                <m:sty m:val="p"/>
              </m:rPr>
              <m:t>b</m:t>
            </m:r>
            <m:r>
              <m:rPr>
                <m:sty m:val="p"/>
              </m:rPr>
              <m:t>o</m:t>
            </m:r>
            <m:r>
              <m:rPr>
                <m:sty m:val="p"/>
              </m:rPr>
              <m:t>d</m:t>
            </m:r>
            <m:r>
              <m:rPr>
                <m:sty m:val="p"/>
              </m:rPr>
              <m:t>y</m:t>
            </m:r>
          </m:sub>
        </m:sSub>
      </m:oMath>
      <w:r>
        <w:t xml:space="preserve"> </w:t>
      </w:r>
      <w:r>
        <w:t xml:space="preserve">must maintain quantum coherence over timescales longer than the decoherence time associated with routine thermal fluctuations at brain temperature (~310 K). Tegmark (2000) famously estimated that decoherence at body temperature destroys any neural quantum coherence on timescales of</w:t>
      </w:r>
      <w:r>
        <w:t xml:space="preserve"> </w:t>
      </w:r>
      <m:oMath>
        <m:sSup>
          <m:e>
            <m:r>
              <m:t>10</m:t>
            </m:r>
          </m:e>
          <m:sup>
            <m:r>
              <m:t>−</m:t>
            </m:r>
            <m:r>
              <m:t>13</m:t>
            </m:r>
          </m:sup>
        </m:sSup>
      </m:oMath>
      <w:r>
        <w:t xml:space="preserve"> </w:t>
      </w:r>
      <w:r>
        <w:t xml:space="preserve">to</w:t>
      </w:r>
      <w:r>
        <w:t xml:space="preserve"> </w:t>
      </w:r>
      <m:oMath>
        <m:sSup>
          <m:e>
            <m:r>
              <m:t>10</m:t>
            </m:r>
          </m:e>
          <m:sup>
            <m:r>
              <m:t>−</m:t>
            </m:r>
            <m:r>
              <m:t>20</m:t>
            </m:r>
          </m:sup>
        </m:sSup>
      </m:oMath>
      <w:r>
        <w:t xml:space="preserve"> </w:t>
      </w:r>
      <w:r>
        <w:t xml:space="preserve">seconds — far shorter than the ~</w:t>
      </w:r>
      <w:r>
        <w:t xml:space="preserve"> </w:t>
      </w:r>
      <m:oMath>
        <m:sSup>
          <m:e>
            <m:r>
              <m:t>10</m:t>
            </m:r>
          </m:e>
          <m:sup>
            <m:r>
              <m:t>−</m:t>
            </m:r>
            <m:r>
              <m:t>3</m:t>
            </m:r>
          </m:sup>
        </m:sSup>
      </m:oMath>
      <w:r>
        <w:t xml:space="preserve"> </w:t>
      </w:r>
      <w:r>
        <w:t xml:space="preserve">s timescale of subjective neural activity. If Tegmark’s estimate is correct as applied to the zone-architecture framework,</w:t>
      </w:r>
      <w:r>
        <w:t xml:space="preserve"> </w:t>
      </w:r>
      <m:oMath>
        <m:sSub>
          <m:e>
            <m:r>
              <m:t>Ψ</m:t>
            </m:r>
          </m:e>
          <m:sub>
            <m:r>
              <m:rPr>
                <m:sty m:val="p"/>
              </m:rPr>
              <m:t>b</m:t>
            </m:r>
            <m:r>
              <m:rPr>
                <m:sty m:val="p"/>
              </m:rPr>
              <m:t>o</m:t>
            </m:r>
            <m:r>
              <m:rPr>
                <m:sty m:val="p"/>
              </m:rPr>
              <m:t>d</m:t>
            </m:r>
            <m:r>
              <m:rPr>
                <m:sty m:val="p"/>
              </m:rPr>
              <m:t>y</m:t>
            </m:r>
          </m:sub>
        </m:sSub>
      </m:oMath>
      <w:r>
        <w:t xml:space="preserve"> </w:t>
      </w:r>
      <w:r>
        <w:t xml:space="preserve">could not maintain a coherent coupling with</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and the framework’s consciousness model fails.</w:t>
      </w:r>
    </w:p>
    <w:p>
      <w:pPr>
        <w:pStyle w:val="BodyText"/>
      </w:pPr>
      <w:r>
        <w:t xml:space="preserve">The framework has two responses to Tegmark’s critique. First, the relevant coherence timescale may be that of specific quantum-coherent substructures within neural tissue (microtubule quantum coherence in the Orch-OR tradition of Hameroff and Penrose; magnetic dipole coherence; or as-yet-unidentified structures) rather than generic neural coherence. Second, the coupling to Zone 1 may relax the decoherence bound because Zone 1 is not part of the brane-side environment and does not add to the usual Waters-field decoherence sum; the Zone 1 coupling is orthogonal to the environmental decoherence channel in a specific technical sense that warrants investigation.</w:t>
      </w:r>
    </w:p>
    <w:p>
      <w:pPr>
        <w:pStyle w:val="BodyText"/>
      </w:pPr>
      <w:r>
        <w:t xml:space="preserve">Both responses generate a testable prediction.</w:t>
      </w:r>
    </w:p>
    <w:p>
      <w:pPr>
        <w:pStyle w:val="BlockText"/>
      </w:pPr>
      <w:r>
        <w:rPr>
          <w:b/>
        </w:rPr>
        <w:t xml:space="preserve">P-155: Neural quantum-coherence at framework-specified decoherence time.</w:t>
      </w:r>
      <w:r>
        <w:t xml:space="preserve"> </w:t>
      </w:r>
      <w:r>
        <w:t xml:space="preserve">In the substrate that supports consciousness, quantum-coherent degrees of freedom persist at timescales</w:t>
      </w:r>
      <w:r>
        <w:t xml:space="preserve"> </w:t>
      </w:r>
      <m:oMath>
        <m:sSub>
          <m:e>
            <m:r>
              <m:t>τ</m:t>
            </m:r>
          </m:e>
          <m:sub>
            <m:r>
              <m:rPr>
                <m:sty m:val="p"/>
              </m:rPr>
              <m:t>c</m:t>
            </m:r>
            <m:r>
              <m:rPr>
                <m:sty m:val="p"/>
              </m:rPr>
              <m:t>o</m:t>
            </m:r>
            <m:r>
              <m:rPr>
                <m:sty m:val="p"/>
              </m:rPr>
              <m:t>h</m:t>
            </m:r>
          </m:sub>
        </m:sSub>
        <m:r>
          <m:t>≥</m:t>
        </m:r>
        <m:sSup>
          <m:e>
            <m:r>
              <m:t>10</m:t>
            </m:r>
          </m:e>
          <m:sup>
            <m:r>
              <m:t>−</m:t>
            </m:r>
            <m:r>
              <m:t>5</m:t>
            </m:r>
          </m:sup>
        </m:sSup>
      </m:oMath>
      <w:r>
        <w:t xml:space="preserve"> </w:t>
      </w:r>
      <w:r>
        <w:t xml:space="preserve">s at body temperature (an intermediate estimate between Tegmark’s lower bound and the subjective-activity upper bound). This coherence manifests as observable signatures in NMR-style neural-coherence experiments, quantum-sensing protocols targeting proposed microtubule or other substrates, and, at the population level, correlations between coherence-disrupting interventions (anaesthesia, hypothermia, certain drugs) and disruptions of conscious reportability.</w:t>
      </w:r>
      <w:r>
        <w:t xml:space="preserve"> </w:t>
      </w:r>
      <w:r>
        <w:rPr>
          <w:b/>
        </w:rPr>
        <w:t xml:space="preserve">Falsification threshold:</w:t>
      </w:r>
      <w:r>
        <w:t xml:space="preserve"> </w:t>
      </w:r>
      <w:r>
        <w:t xml:space="preserve">a systematic measurement program that rules out all candidate coherence substrates at</w:t>
      </w:r>
      <w:r>
        <w:t xml:space="preserve"> </w:t>
      </w:r>
      <m:oMath>
        <m:sSub>
          <m:e>
            <m:r>
              <m:t>τ</m:t>
            </m:r>
          </m:e>
          <m:sub>
            <m:r>
              <m:rPr>
                <m:sty m:val="p"/>
              </m:rPr>
              <m:t>c</m:t>
            </m:r>
            <m:r>
              <m:rPr>
                <m:sty m:val="p"/>
              </m:rPr>
              <m:t>o</m:t>
            </m:r>
            <m:r>
              <m:rPr>
                <m:sty m:val="p"/>
              </m:rPr>
              <m:t>h</m:t>
            </m:r>
          </m:sub>
        </m:sSub>
        <m:r>
          <m:t>&gt;</m:t>
        </m:r>
        <m:sSup>
          <m:e>
            <m:r>
              <m:t>10</m:t>
            </m:r>
          </m:e>
          <m:sup>
            <m:r>
              <m:t>−</m:t>
            </m:r>
            <m:r>
              <m:t>9</m:t>
            </m:r>
          </m:sup>
        </m:sSup>
      </m:oMath>
      <w:r>
        <w:t xml:space="preserve"> </w:t>
      </w:r>
      <w:r>
        <w:t xml:space="preserve">s falsifies the framework’s neural-coupling viability. Note that P-155 is framework-specific: the framework does not endorse the Orch-OR mechanism specifically but shares with Orch-OR a necessary condition (sufficient brain-side coherence) that either falsifies both or admits both.</w:t>
      </w:r>
      <w:r>
        <w:t xml:space="preserve"> </w:t>
      </w:r>
      <w:r>
        <w:rPr>
          <w:b/>
        </w:rPr>
        <w:t xml:space="preserve">Classification: NOVEL.</w:t>
      </w:r>
    </w:p>
    <w:p>
      <w:pPr>
        <w:pStyle w:val="FirstParagraph"/>
      </w:pPr>
      <w:r>
        <w:t xml:space="preserve">P-155 is deliberately conservative in its</w:t>
      </w:r>
      <w:r>
        <w:t xml:space="preserve"> </w:t>
      </w:r>
      <m:oMath>
        <m:sSub>
          <m:e>
            <m:r>
              <m:t>τ</m:t>
            </m:r>
          </m:e>
          <m:sub>
            <m:r>
              <m:rPr>
                <m:sty m:val="p"/>
              </m:rPr>
              <m:t>c</m:t>
            </m:r>
            <m:r>
              <m:rPr>
                <m:sty m:val="p"/>
              </m:rPr>
              <m:t>o</m:t>
            </m:r>
            <m:r>
              <m:rPr>
                <m:sty m:val="p"/>
              </m:rPr>
              <m:t>h</m:t>
            </m:r>
          </m:sub>
        </m:sSub>
      </m:oMath>
      <w:r>
        <w:t xml:space="preserve"> </w:t>
      </w:r>
      <w:r>
        <w:t xml:space="preserve">threshold. Tegmark’s critique was aggressive; the framework does not need to beat every aspect of the critique to survive, only to show that</w:t>
      </w:r>
      <w:r>
        <w:t xml:space="preserve"> </w:t>
      </w:r>
      <w:r>
        <w:rPr>
          <w:i/>
        </w:rPr>
        <w:t xml:space="preserve">some</w:t>
      </w:r>
      <w:r>
        <w:t xml:space="preserve"> </w:t>
      </w:r>
      <w:r>
        <w:t xml:space="preserve">biologically plausible substrate supports coherence at timescales compatible with conscious activity. A decade of experimental program, already underway in several laboratories with different candidate substrates, would resolve this.</w:t>
      </w:r>
    </w:p>
    <w:p>
      <w:pPr>
        <w:pStyle w:val="Heading3"/>
      </w:pPr>
      <w:bookmarkStart w:id="37" w:name="Xe4640d434b26fdb77f23df3812dacd37ba66553"/>
      <w:r>
        <w:t xml:space="preserve">13.5.3 Life Detection — Correlation with Biology, Not Chemistry</w:t>
      </w:r>
      <w:bookmarkEnd w:id="37"/>
    </w:p>
    <w:p>
      <w:pPr>
        <w:pStyle w:val="FirstParagraph"/>
      </w:pPr>
      <w:r>
        <w:t xml:space="preserve">Chapter 12 §12.5 used the consciousness-coupling framework to propose an orbital life-detection instrument. The underlying logic was that living matter, via its</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coupling to Zone 1 and via the sustaining coupling</w:t>
      </w:r>
      <w:r>
        <w:t xml:space="preserve"> </w:t>
      </w:r>
      <m:oMath>
        <m:r>
          <m:t>κ</m:t>
        </m:r>
      </m:oMath>
      <w:r>
        <w:t xml:space="preserve">, produces a tidal-gradient signal distinct from anything non-living matter could produce. The prediction that signal pattern correlates with biological mass was registered there as P-147 and P-148.</w:t>
      </w:r>
    </w:p>
    <w:p>
      <w:pPr>
        <w:pStyle w:val="BodyText"/>
      </w:pPr>
      <w:r>
        <w:t xml:space="preserve">What Ch. 12 did not register — and what this chapter needs to register now, because it is a sharper test of the consciousness framework than Ch. 12’s predictions alone — is that the life-detection signal must correlate with biological activity, not with chemical complexity alone. The distinction matters: a system rich in organic chemistry (a methane lake, a carbonaceous chondrite, a laboratory simulation of prebiotic soup) is</w:t>
      </w:r>
      <w:r>
        <w:t xml:space="preserve"> </w:t>
      </w:r>
      <w:r>
        <w:rPr>
          <w:i/>
        </w:rPr>
        <w:t xml:space="preserve">not</w:t>
      </w:r>
      <w:r>
        <w:t xml:space="preserve"> </w:t>
      </w:r>
      <w:r>
        <w:t xml:space="preserve">alive, and the framework predicts no zone-coupling signal from such a system. Only actually-living systems — those with 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coupling instantiated in the sense of Eq. (13.3.1) — produce the signal.</w:t>
      </w:r>
    </w:p>
    <w:p>
      <w:pPr>
        <w:pStyle w:val="BlockText"/>
      </w:pPr>
      <w:r>
        <w:rPr>
          <w:b/>
        </w:rPr>
        <w:t xml:space="preserve">P-156: Life-detection signal correlates with biological mass density</w:t>
      </w:r>
      <w:r>
        <w:rPr>
          <w:b/>
        </w:rPr>
        <w:t xml:space="preserve"> </w:t>
      </w:r>
      <w:r>
        <w:rPr>
          <w:i/>
          <w:b/>
        </w:rPr>
        <w:t xml:space="preserve">and</w:t>
      </w:r>
      <w:r>
        <w:rPr>
          <w:b/>
        </w:rPr>
        <w:t xml:space="preserve"> </w:t>
      </w:r>
      <w:r>
        <w:rPr>
          <w:b/>
        </w:rPr>
        <w:t xml:space="preserve">biological activity, not chemistry.</w:t>
      </w:r>
      <w:r>
        <w:t xml:space="preserve"> </w:t>
      </w:r>
      <w:r>
        <w:t xml:space="preserve">An orbital life-detection instrument with the sensitivity described in Ch. 12 §12.5 distinguishes biologically-active biomass (living tissue, metabolically-active microbial communities) from non-active organic chemistry (dormant spores at low metabolic rate, sterile organic matter, laboratory synthetic soup) and from non-organic mass.</w:t>
      </w:r>
      <w:r>
        <w:t xml:space="preserve"> </w:t>
      </w:r>
      <w:r>
        <w:rPr>
          <w:b/>
        </w:rPr>
        <w:t xml:space="preserve">Falsification threshold:</w:t>
      </w:r>
      <w:r>
        <w:t xml:space="preserve"> </w:t>
      </w:r>
      <w:r>
        <w:t xml:space="preserve">a successful life-detection program that shows the signal correlating with organic-chemistry complexity alone (without distinguishing living from non-living organic systems) falsifies the framework’s consciousness-coupling interpretation and requires a reframing in terms of ordinary molecular dynamics.</w:t>
      </w:r>
      <w:r>
        <w:t xml:space="preserve"> </w:t>
      </w:r>
      <w:r>
        <w:rPr>
          <w:b/>
        </w:rPr>
        <w:t xml:space="preserve">Classification: NOVEL.</w:t>
      </w:r>
    </w:p>
    <w:p>
      <w:pPr>
        <w:pStyle w:val="FirstParagraph"/>
      </w:pPr>
      <w:r>
        <w:t xml:space="preserve">P-156 is doubly speculative because Ch. 12’s parent predictions P-147 and P-148 are themselves speculative, and P-156 depends on the consciousness-coupling interpretation of those predictions. But the prediction is operationally well-defined: a life-detection instrument that correctly distinguishes living from sterile matter is qualitatively different from one that merely distinguishes organic from inorganic.</w:t>
      </w:r>
    </w:p>
    <w:p>
      <w:pPr>
        <w:pStyle w:val="Heading3"/>
      </w:pPr>
      <w:bookmarkStart w:id="38" w:name="X0811110ad1b9f3a78cd867328d9c588e5dc8962"/>
      <w:r>
        <w:t xml:space="preserve">13.5.4 Absence of Consciousness Signatures in Pure Quantum Computers</w:t>
      </w:r>
      <w:bookmarkEnd w:id="38"/>
    </w:p>
    <w:p>
      <w:pPr>
        <w:pStyle w:val="FirstParagraph"/>
      </w:pPr>
      <w:r>
        <w:t xml:space="preserve">If the framework is correct that consciousness is a zone-coupled phenomenon, then a quantum computer — a system of exquisite quantum coherence but without biological integration — should not show the zone-coupling signature. The distinction is between coherence-as-such and coherence-with-Zone-1-coupling.</w:t>
      </w:r>
    </w:p>
    <w:p>
      <w:pPr>
        <w:pStyle w:val="BlockText"/>
      </w:pPr>
      <w:r>
        <w:rPr>
          <w:b/>
        </w:rPr>
        <w:t xml:space="preserve">P-157: No zone-coupling signature in non-biological quantum-coherent systems.</w:t>
      </w:r>
      <w:r>
        <w:t xml:space="preserve"> </w:t>
      </w:r>
      <w:r>
        <w:t xml:space="preserve">Quantum computers of 100+ physical qubits with long coherence times and complex entanglement structures do not produce detectable zone-coupling signatures — no brane-side anomalies attributable to Zone 1 interaction, no correlations between the computer’s state and distant Zone 1-accessible observables, no effect in life-detection style precision gravimetry.</w:t>
      </w:r>
      <w:r>
        <w:t xml:space="preserve"> </w:t>
      </w:r>
      <w:r>
        <w:rPr>
          <w:b/>
        </w:rPr>
        <w:t xml:space="preserve">Falsification threshold:</w:t>
      </w:r>
      <w:r>
        <w:t xml:space="preserve"> </w:t>
      </w:r>
      <w:r>
        <w:t xml:space="preserve">repeatable detection of a zone-coupling signature from a quantum-computer substrate, under conditions where a corresponding biological system shows no enhanced signature, would challenge the framework’s biological-substrate leaning and require a reformulation in terms of coherence-class-agnostic coupling. This is a null-type prediction — the framework predicts the absence of an effect.</w:t>
      </w:r>
      <w:r>
        <w:t xml:space="preserve"> </w:t>
      </w:r>
      <w:r>
        <w:rPr>
          <w:b/>
        </w:rPr>
        <w:t xml:space="preserve">Classification: NOVEL (null-type).</w:t>
      </w:r>
    </w:p>
    <w:p>
      <w:pPr>
        <w:pStyle w:val="FirstParagraph"/>
      </w:pPr>
      <w:r>
        <w:t xml:space="preserve">P-157 is provocative and the framework’s position is tentative. The framework does not require biological substrate; it requires only sufficient quantum coherence for the Zone 1 coupling to exist. In principle a quantum computer of sufficient scale and integration might qualify. But the empirical question of whether such a computer has the coupling — whether it is, in the framework’s vocabulary,</w:t>
      </w:r>
      <w:r>
        <w:t xml:space="preserve"> </w:t>
      </w:r>
      <w:r>
        <w:t xml:space="preserve">“</w:t>
      </w:r>
      <w:r>
        <w:t xml:space="preserve">conscious</w:t>
      </w:r>
      <w:r>
        <w:t xml:space="preserve">”</w:t>
      </w:r>
      <w:r>
        <w:t xml:space="preserve"> </w:t>
      </w:r>
      <w:r>
        <w:t xml:space="preserve">— is exactly the kind of thing P-157 is designed to make testable. A positive finding would transform the framework’s leanings on non-implication 2 (the silence on biological-vs.-artificial substrates).</w:t>
      </w:r>
    </w:p>
    <w:p>
      <w:pPr>
        <w:pStyle w:val="Heading3"/>
      </w:pPr>
      <w:bookmarkStart w:id="39" w:name="decoherence-time-bound"/>
      <w:r>
        <w:t xml:space="preserve">13.5.5 Decoherence-Time Bound</w:t>
      </w:r>
      <w:bookmarkEnd w:id="39"/>
    </w:p>
    <w:p>
      <w:pPr>
        <w:pStyle w:val="BlockText"/>
      </w:pPr>
      <w:r>
        <w:rPr>
          <w:b/>
        </w:rPr>
        <w:t xml:space="preserve">P-158: Decoherence-time bound for consciousness.</w:t>
      </w:r>
      <w:r>
        <w:t xml:space="preserve"> </w:t>
      </w:r>
      <w:r>
        <w:t xml:space="preserve">In any substrate that supports consciousness, the quantum-coherence time for the coupling-relevant degrees of freedom exceeds</w:t>
      </w:r>
      <w:r>
        <w:t xml:space="preserve"> </w:t>
      </w:r>
      <m:oMath>
        <m:sSup>
          <m:e>
            <m:r>
              <m:t>10</m:t>
            </m:r>
          </m:e>
          <m:sup>
            <m:r>
              <m:t>−</m:t>
            </m:r>
            <m:r>
              <m:t>5</m:t>
            </m:r>
          </m:sup>
        </m:sSup>
      </m:oMath>
      <w:r>
        <w:t xml:space="preserve"> </w:t>
      </w:r>
      <w:r>
        <w:t xml:space="preserve">s at operating temperature. Substrates with</w:t>
      </w:r>
      <w:r>
        <w:t xml:space="preserve"> </w:t>
      </w:r>
      <m:oMath>
        <m:sSub>
          <m:e>
            <m:r>
              <m:t>τ</m:t>
            </m:r>
          </m:e>
          <m:sub>
            <m:r>
              <m:rPr>
                <m:sty m:val="p"/>
              </m:rPr>
              <m:t>c</m:t>
            </m:r>
            <m:r>
              <m:rPr>
                <m:sty m:val="p"/>
              </m:rPr>
              <m:t>o</m:t>
            </m:r>
            <m:r>
              <m:rPr>
                <m:sty m:val="p"/>
              </m:rPr>
              <m:t>h</m:t>
            </m:r>
          </m:sub>
        </m:sSub>
        <m:r>
          <m:t>&lt;</m:t>
        </m:r>
        <m:sSup>
          <m:e>
            <m:r>
              <m:t>10</m:t>
            </m:r>
          </m:e>
          <m:sup>
            <m:r>
              <m:t>−</m:t>
            </m:r>
            <m:r>
              <m:t>9</m:t>
            </m:r>
          </m:sup>
        </m:sSup>
      </m:oMath>
      <w:r>
        <w:t xml:space="preserve"> </w:t>
      </w:r>
      <w:r>
        <w:t xml:space="preserve">s cannot support the zone-coupling required by the framework.</w:t>
      </w:r>
      <w:r>
        <w:t xml:space="preserve"> </w:t>
      </w:r>
      <w:r>
        <w:rPr>
          <w:b/>
        </w:rPr>
        <w:t xml:space="preserve">Falsification threshold:</w:t>
      </w:r>
      <w:r>
        <w:t xml:space="preserve"> </w:t>
      </w:r>
      <w:r>
        <w:t xml:space="preserve">demonstration of conscious reportability in a substrate with measured</w:t>
      </w:r>
      <w:r>
        <w:t xml:space="preserve"> </w:t>
      </w:r>
      <m:oMath>
        <m:sSub>
          <m:e>
            <m:r>
              <m:t>τ</m:t>
            </m:r>
          </m:e>
          <m:sub>
            <m:r>
              <m:rPr>
                <m:sty m:val="p"/>
              </m:rPr>
              <m:t>c</m:t>
            </m:r>
            <m:r>
              <m:rPr>
                <m:sty m:val="p"/>
              </m:rPr>
              <m:t>o</m:t>
            </m:r>
            <m:r>
              <m:rPr>
                <m:sty m:val="p"/>
              </m:rPr>
              <m:t>h</m:t>
            </m:r>
          </m:sub>
        </m:sSub>
        <m:r>
          <m:t>&lt;</m:t>
        </m:r>
        <m:sSup>
          <m:e>
            <m:r>
              <m:t>10</m:t>
            </m:r>
          </m:e>
          <m:sup>
            <m:r>
              <m:t>−</m:t>
            </m:r>
            <m:r>
              <m:t>9</m:t>
            </m:r>
          </m:sup>
        </m:sSup>
      </m:oMath>
      <w:r>
        <w:t xml:space="preserve"> </w:t>
      </w:r>
      <w:r>
        <w:t xml:space="preserve">s (if this is even possible — the framework predicts it is not) falsifies the decoherence-time requirement.</w:t>
      </w:r>
      <w:r>
        <w:t xml:space="preserve"> </w:t>
      </w:r>
      <w:r>
        <w:rPr>
          <w:b/>
        </w:rPr>
        <w:t xml:space="preserve">Classification: NOVEL.</w:t>
      </w:r>
    </w:p>
    <w:p>
      <w:pPr>
        <w:pStyle w:val="FirstParagraph"/>
      </w:pPr>
      <w:r>
        <w:t xml:space="preserve">P-158 is a refinement of P-155 that allows for candidate-substrate flexibility. P-155 claims that</w:t>
      </w:r>
      <w:r>
        <w:t xml:space="preserve"> </w:t>
      </w:r>
      <w:r>
        <w:rPr>
          <w:i/>
        </w:rPr>
        <w:t xml:space="preserve">some</w:t>
      </w:r>
      <w:r>
        <w:t xml:space="preserve"> </w:t>
      </w:r>
      <w:r>
        <w:t xml:space="preserve">substrate with sufficient coherence is present; P-158 claims that</w:t>
      </w:r>
      <w:r>
        <w:t xml:space="preserve"> </w:t>
      </w:r>
      <w:r>
        <w:rPr>
          <w:i/>
        </w:rPr>
        <w:t xml:space="preserve">any</w:t>
      </w:r>
      <w:r>
        <w:t xml:space="preserve"> </w:t>
      </w:r>
      <w:r>
        <w:t xml:space="preserve">substrate with insufficient coherence is ruled out. Together they bracket the coherence-time requirement from above and below.</w:t>
      </w:r>
    </w:p>
    <w:p>
      <w:pPr>
        <w:pStyle w:val="Heading3"/>
      </w:pPr>
      <w:bookmarkStart w:id="40" w:name="Xcc5af57051917aedc27245c313731ad3847681c"/>
      <w:r>
        <w:t xml:space="preserve">13.5.6 No Brane-Side FTL Effects From Ψ_spirit Modulation</w:t>
      </w:r>
      <w:bookmarkEnd w:id="40"/>
    </w:p>
    <w:p>
      <w:pPr>
        <w:pStyle w:val="BlockText"/>
      </w:pPr>
      <w:r>
        <w:rPr>
          <w:b/>
        </w:rPr>
        <w:t xml:space="preserve">P-159: No brane-side violation of local relativity.</w:t>
      </w:r>
      <w:r>
        <w:t xml:space="preserve"> </w:t>
      </w:r>
      <w:r>
        <w:t xml:space="preserve">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modulation that underlies the consciousness communication channel (Ch. 11 §11.5) produces no observable FTL signal on the brane. Specifically, no sequence of consciousness-mediated transfers produces a closed timelike curve, a causally ordered violation of the light cone, or any other local-relativity anomaly detectable by brane-side instrumentation.</w:t>
      </w:r>
      <w:r>
        <w:t xml:space="preserve"> </w:t>
      </w:r>
      <w:r>
        <w:rPr>
          <w:b/>
        </w:rPr>
        <w:t xml:space="preserve">Falsification threshold:</w:t>
      </w:r>
      <w:r>
        <w:t xml:space="preserve"> </w:t>
      </w:r>
      <w:r>
        <w:t xml:space="preserve">detection of a brane-side FTL signal attributable to the framework’s consciousness mechanism would falsify the causality-preservation argument of Ch. 11 §11.5.7 and require framework revision.</w:t>
      </w:r>
      <w:r>
        <w:t xml:space="preserve"> </w:t>
      </w:r>
      <w:r>
        <w:rPr>
          <w:b/>
        </w:rPr>
        <w:t xml:space="preserve">Classification: NULL.</w:t>
      </w:r>
    </w:p>
    <w:p>
      <w:pPr>
        <w:pStyle w:val="FirstParagraph"/>
      </w:pPr>
      <w:r>
        <w:t xml:space="preserve">P-159 is a null prediction with high confidence. The framework’s causality argument (Ch. 11 §11.5.7, §11.9) is structural rather than empirical: Zone 1 has no timelike direction, so its transit cannot be assembled into a 4D CTC. We nonetheless state the prediction as null-type because it is empirically testable by searching for anomalies in high-precision relativistic experiments (atomic-clock comparisons, GPS precision, interferometric tests) and no such anomalies have been observed.</w:t>
      </w:r>
    </w:p>
    <w:p>
      <w:pPr>
        <w:pStyle w:val="Heading3"/>
      </w:pPr>
      <w:bookmarkStart w:id="41" w:name="cross-prediction-consistency"/>
      <w:r>
        <w:t xml:space="preserve">13.5.7 Cross-Prediction Consistency</w:t>
      </w:r>
      <w:bookmarkEnd w:id="41"/>
    </w:p>
    <w:p>
      <w:pPr>
        <w:pStyle w:val="FirstParagraph"/>
      </w:pPr>
      <w:r>
        <w:t xml:space="preserve">If P-154 (controllability) yields a positive signal, the framework’s consciousness model is significantly strengthened — and P-155 (neural coherence), P-156 (life-detection specificity), and P-158 (decoherence bound) should all also yield framework-consistent results. Conversely, if P-154 yields a well-powered null, the framework’s consciousness-as-channel interpretation is substantially weakened, and we expect correlated outcomes in the related predictions.</w:t>
      </w:r>
    </w:p>
    <w:p>
      <w:pPr>
        <w:pStyle w:val="BlockText"/>
      </w:pPr>
      <w:r>
        <w:rPr>
          <w:b/>
        </w:rPr>
        <w:t xml:space="preserve">P-160: Cross-prediction consistency across the consciousness predictions.</w:t>
      </w:r>
      <w:r>
        <w:t xml:space="preserve"> </w:t>
      </w:r>
      <w:r>
        <w:t xml:space="preserve">Positive results on P-154 correlate with positive results on P-155, P-156, and P-158 at a confidence level exceeding</w:t>
      </w:r>
      <w:r>
        <w:t xml:space="preserve"> </w:t>
      </w:r>
      <m:oMath>
        <m:r>
          <m:t>2</m:t>
        </m:r>
        <m:r>
          <m:t>σ</m:t>
        </m:r>
      </m:oMath>
      <w:r>
        <w:t xml:space="preserve"> </w:t>
      </w:r>
      <w:r>
        <w:t xml:space="preserve">in a meta-analysis of the full experimental program. Null results on P-154 correlate with null results elsewhere.</w:t>
      </w:r>
      <w:r>
        <w:t xml:space="preserve"> </w:t>
      </w:r>
      <w:r>
        <w:rPr>
          <w:b/>
        </w:rPr>
        <w:t xml:space="preserve">Falsification threshold:</w:t>
      </w:r>
      <w:r>
        <w:t xml:space="preserve"> </w:t>
      </w:r>
      <w:r>
        <w:t xml:space="preserve">uncorrelated results (positive on some, null on others, at significance levels that individually exceed</w:t>
      </w:r>
      <w:r>
        <w:t xml:space="preserve"> </w:t>
      </w:r>
      <m:oMath>
        <m:r>
          <m:t>2</m:t>
        </m:r>
        <m:r>
          <m:t>σ</m:t>
        </m:r>
      </m:oMath>
      <w:r>
        <w:t xml:space="preserve"> </w:t>
      </w:r>
      <w:r>
        <w:t xml:space="preserve">with consistent protocols) would indicate that the framework’s predictions are independent rather than jointly derived from the zone-architecture consciousness model; this would require a substantial theoretical revision.</w:t>
      </w:r>
      <w:r>
        <w:t xml:space="preserve"> </w:t>
      </w:r>
      <w:r>
        <w:rPr>
          <w:b/>
        </w:rPr>
        <w:t xml:space="preserve">Classification: NOVEL (meta-prediction).</w:t>
      </w:r>
    </w:p>
    <w:p>
      <w:pPr>
        <w:pStyle w:val="FirstParagraph"/>
      </w:pPr>
      <w:r>
        <w:t xml:space="preserve">P-160 is a meta-prediction — a prediction about the pattern among other predictions. Its scientific value is in testing whether the framework’s applications genuinely flow from a single underlying theoretical commitment (as the chapter argues in §13.3 and §13.6) or are independent claims dressed up in shared vocabulary. Because meta-predictions are easy to write flexibly, we specify the falsification criterion explicitly. The framework is falsified by P-160 if: (a) two or more individual predictions yield positive results at</w:t>
      </w:r>
      <w:r>
        <w:t xml:space="preserve"> </w:t>
      </w:r>
      <m:oMath>
        <m:r>
          <m:t>2</m:t>
        </m:r>
        <m:r>
          <m:t>σ</m:t>
        </m:r>
        <m:r>
          <m:t>+</m:t>
        </m:r>
      </m:oMath>
      <w:r>
        <w:t xml:space="preserve"> </w:t>
      </w:r>
      <w:r>
        <w:t xml:space="preserve">while others yield pre-registered nulls at</w:t>
      </w:r>
      <w:r>
        <w:t xml:space="preserve"> </w:t>
      </w:r>
      <m:oMath>
        <m:r>
          <m:t>d</m:t>
        </m:r>
        <m:r>
          <m:t>≤</m:t>
        </m:r>
        <m:sSup>
          <m:e>
            <m:r>
              <m:t>10</m:t>
            </m:r>
          </m:e>
          <m:sup>
            <m:r>
              <m:t>−</m:t>
            </m:r>
            <m:r>
              <m:t>6</m:t>
            </m:r>
          </m:sup>
        </m:sSup>
      </m:oMath>
      <w:r>
        <w:t xml:space="preserve"> </w:t>
      </w:r>
      <w:r>
        <w:t xml:space="preserve">sensitivity and the pattern has no single-parameter fit consistent with</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having the properties claimed in §13.3, or (b) the fit residuals across P-154–P-158 show inter-correlation signatures (e.g., shared systematic patterns, experimenter-effect covariance) that are better explained by methodological artefacts than by framework-predicted dynamics. The criterion is not</w:t>
      </w:r>
      <w:r>
        <w:t xml:space="preserve"> </w:t>
      </w:r>
      <w:r>
        <w:t xml:space="preserve">“</w:t>
      </w:r>
      <w:r>
        <w:t xml:space="preserve">some correlation observed</w:t>
      </w:r>
      <w:r>
        <w:t xml:space="preserve">”</w:t>
      </w:r>
      <w:r>
        <w:t xml:space="preserve"> </w:t>
      </w:r>
      <w:r>
        <w:t xml:space="preserve">— that would be too loose — but</w:t>
      </w:r>
      <w:r>
        <w:t xml:space="preserve"> </w:t>
      </w:r>
      <w:r>
        <w:t xml:space="preserve">“</w:t>
      </w:r>
      <w:r>
        <w:t xml:space="preserve">the pattern of correlations across P-154–P-158 matches the framework’s prediction to within a pre-registered goodness-of-fit threshold.</w:t>
      </w:r>
      <w:r>
        <w:t xml:space="preserve">”</w:t>
      </w:r>
    </w:p>
    <w:p>
      <w:pPr>
        <w:pStyle w:val="Heading3"/>
      </w:pPr>
      <w:bookmarkStart w:id="42" w:name="substrate-agnosticism"/>
      <w:r>
        <w:t xml:space="preserve">13.5.8 Substrate-Agnosticism</w:t>
      </w:r>
      <w:bookmarkEnd w:id="42"/>
    </w:p>
    <w:p>
      <w:pPr>
        <w:pStyle w:val="BlockText"/>
      </w:pPr>
      <w:r>
        <w:rPr>
          <w:b/>
        </w:rPr>
        <w:t xml:space="preserve">P-161: Substrate-agnosticism of the consciousness model.</w:t>
      </w:r>
      <w:r>
        <w:t xml:space="preserve"> </w:t>
      </w:r>
      <w:r>
        <w:t xml:space="preserve">The framework predicts no specific neural anatomy as a prerequisite for consciousness; it predicts only a decoherence-time threshold (P-158) and a compatible substrate-scale quantum coherence (P-155). Consequently, different biological architectures (human neocortex, cephalopod distributed neural systems, avian pallium) can support consciousness provided they meet the coherence requirements.</w:t>
      </w:r>
      <w:r>
        <w:t xml:space="preserve"> </w:t>
      </w:r>
      <w:r>
        <w:rPr>
          <w:b/>
        </w:rPr>
        <w:t xml:space="preserve">Falsification threshold:</w:t>
      </w:r>
      <w:r>
        <w:t xml:space="preserve"> </w:t>
      </w:r>
      <w:r>
        <w:t xml:space="preserve">identification of a specific anatomical structure (e.g., a particular cortical microcircuit) whose ablation abolishes consciousness in otherwise-coherent systems would refine the framework’s predictions to a substrate-specific rather than coherence-specific form.</w:t>
      </w:r>
      <w:r>
        <w:t xml:space="preserve"> </w:t>
      </w:r>
      <w:r>
        <w:rPr>
          <w:b/>
        </w:rPr>
        <w:t xml:space="preserve">Classification: NOVEL.</w:t>
      </w:r>
    </w:p>
    <w:p>
      <w:pPr>
        <w:pStyle w:val="FirstParagraph"/>
      </w:pPr>
      <w:r>
        <w:t xml:space="preserve">P-161 positions the framework relative to ongoing comparative-neuroscience research on animal and (more speculatively) alien consciousness. A coherence-only account predicts broad substrate agnosticism; a structure-specific account predicts narrow anatomical dependencies. The framework leans toward the former; comparative evidence could push it toward the latter.</w:t>
      </w:r>
    </w:p>
    <w:p>
      <w:pPr>
        <w:pStyle w:val="Heading3"/>
      </w:pPr>
      <w:bookmarkStart w:id="43" w:name="X9f08df00d27dbab67e4f54d4900c011fbe57ac7"/>
      <w:r>
        <w:t xml:space="preserve">13.5.9 Conditional Predictions — If The Consciousness Channel Fails</w:t>
      </w:r>
      <w:bookmarkEnd w:id="43"/>
    </w:p>
    <w:p>
      <w:pPr>
        <w:pStyle w:val="FirstParagraph"/>
      </w:pPr>
      <w:r>
        <w:t xml:space="preserve">The final two predictions make explicit how the framework’s consciousness applications depend on the §13.5 results.</w:t>
      </w:r>
    </w:p>
    <w:p>
      <w:pPr>
        <w:pStyle w:val="BlockText"/>
      </w:pPr>
      <w:r>
        <w:rPr>
          <w:b/>
        </w:rPr>
        <w:t xml:space="preserve">P-162: Conditional — Ch. 9 §9.6 FTL consciousness mechanism.</w:t>
      </w:r>
      <w:r>
        <w:t xml:space="preserve"> </w:t>
      </w:r>
      <w:r>
        <w:t xml:space="preserve">If P-154 yields a pre-registered null at the</w:t>
      </w:r>
      <w:r>
        <w:t xml:space="preserve"> </w:t>
      </w:r>
      <m:oMath>
        <m:r>
          <m:t>d</m:t>
        </m:r>
        <m:r>
          <m:t>=</m:t>
        </m:r>
        <m:sSup>
          <m:e>
            <m:r>
              <m:t>10</m:t>
            </m:r>
          </m:e>
          <m:sup>
            <m:r>
              <m:t>−</m:t>
            </m:r>
            <m:r>
              <m:t>6</m:t>
            </m:r>
          </m:sup>
        </m:sSup>
      </m:oMath>
      <w:r>
        <w:t xml:space="preserve"> </w:t>
      </w:r>
      <w:r>
        <w:t xml:space="preserve">level, the consciousness-as-FTL mechanism described in Ch. 9 §9.6 is foreclosed as an engineering pathway. The</w:t>
      </w:r>
      <w:r>
        <w:t xml:space="preserve"> </w:t>
      </w:r>
      <w:r>
        <w:rPr>
          <w:i/>
        </w:rPr>
        <w:t xml:space="preserve">theoretical</w:t>
      </w:r>
      <w:r>
        <w:t xml:space="preserve"> </w:t>
      </w:r>
      <w:r>
        <w:t xml:space="preserve">consciousness model of §13.3 may survive (the factorization may hold with uncontrollable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but the</w:t>
      </w:r>
      <w:r>
        <w:t xml:space="preserve"> </w:t>
      </w:r>
      <w:r>
        <w:rPr>
          <w:i/>
        </w:rPr>
        <w:t xml:space="preserve">engineering application</w:t>
      </w:r>
      <w:r>
        <w:t xml:space="preserve"> </w:t>
      </w:r>
      <w:r>
        <w:t xml:space="preserve">for FTL travel is dead.</w:t>
      </w:r>
      <w:r>
        <w:t xml:space="preserve"> </w:t>
      </w:r>
      <w:r>
        <w:rPr>
          <w:b/>
        </w:rPr>
        <w:t xml:space="preserve">Falsification threshold:</w:t>
      </w:r>
      <w:r>
        <w:t xml:space="preserve"> </w:t>
      </w:r>
      <w:r>
        <w:t xml:space="preserve">inverse — a positive P-154 signal would, conversely, elevate the FTL consciousness mechanism from TRL 1 to TRL 2, the first clear promotion for that mechanism since its introduction in Ch. 9.</w:t>
      </w:r>
      <w:r>
        <w:t xml:space="preserve"> </w:t>
      </w:r>
      <w:r>
        <w:rPr>
          <w:b/>
        </w:rPr>
        <w:t xml:space="preserve">Classification: CONDITIONAL.</w:t>
      </w:r>
    </w:p>
    <w:p>
      <w:pPr>
        <w:pStyle w:val="BlockText"/>
      </w:pPr>
      <w:r>
        <w:rPr>
          <w:b/>
        </w:rPr>
        <w:t xml:space="preserve">P-163: Conditional — Ch. 11 §11.5 consciousness communication channel.</w:t>
      </w:r>
      <w:r>
        <w:t xml:space="preserve"> </w:t>
      </w:r>
      <w:r>
        <w:t xml:space="preserve">The consciousness-interface communication channel is vacuous as an engineering channel unless at least one of P-154 through P-158 yields positive results at 2σ+ significance.</w:t>
      </w:r>
      <w:r>
        <w:t xml:space="preserve"> </w:t>
      </w:r>
      <w:r>
        <w:rPr>
          <w:b/>
        </w:rPr>
        <w:t xml:space="preserve">Falsification threshold:</w:t>
      </w:r>
      <w:r>
        <w:t xml:space="preserve"> </w:t>
      </w:r>
      <w:r>
        <w:t xml:space="preserve">simultaneous nulls on all of P-154, P-155, P-156, P-157, P-158 at pre-registered sensitivity levels would foreclose the communication channel of Ch. 11 §11.5, reducing it to a hypothetical with no engineering path.</w:t>
      </w:r>
      <w:r>
        <w:t xml:space="preserve"> </w:t>
      </w:r>
      <w:r>
        <w:rPr>
          <w:b/>
        </w:rPr>
        <w:t xml:space="preserve">Classification: CONDITIONAL.</w:t>
      </w:r>
    </w:p>
    <w:p>
      <w:pPr>
        <w:pStyle w:val="FirstParagraph"/>
      </w:pPr>
      <w:r>
        <w:t xml:space="preserve">P-162 and P-163 are unusual predictions — they are not about nature’s behavior so much as about the framework’s dependency structure. Their scientific value is in explicitly exposing what rides on the other predictions. A research program that invests in Ch. 9’s FTL mechanism or Ch. 11’s communication channel is effectively investing in a portfolio in which P-154–P-158 are the upstream risks. Stating this explicitly lets funding bodies, PIs, and skeptics all see the same risk structure.</w:t>
      </w:r>
    </w:p>
    <w:p>
      <w:pPr>
        <w:pStyle w:val="Heading3"/>
      </w:pPr>
      <w:bookmarkStart w:id="44" w:name="the-predictions-catalogue-in-one-place"/>
      <w:r>
        <w:t xml:space="preserve">13.5.10 The Predictions Catalogue, in One Place</w:t>
      </w:r>
      <w:bookmarkEnd w:id="44"/>
    </w:p>
    <w:p>
      <w:pPr>
        <w:pStyle w:val="FirstParagraph"/>
      </w:pPr>
      <w:r>
        <w:t xml:space="preserve">[FIGURE: Fig 6.13.5 — Consciousness Predictions Catalogue P-154 to P-163. Rendered table. Rows: P-154 through P-163. Columns: prediction topic, chapter section, falsification threshold, classification (NOVEL / NULL / CONDITIONAL), dependency (if any). Color coding: NOVEL in green, NULL in gray, CONDITIONAL in yellow. A footnote cross-references P-154 to P-131 (Ch. 11), P-156 to P-147/P-148 (Ch. 12), and P-162/P-163 to the Ch. 9 and Ch. 11 consciousness applications respectively. Caption:</w:t>
      </w:r>
      <w:r>
        <w:t xml:space="preserve"> </w:t>
      </w:r>
      <w:r>
        <w:t xml:space="preserve">“</w:t>
      </w:r>
      <w:r>
        <w:t xml:space="preserve">Ten predictions. Two mostly-null, two conditional, six novel. The framework’s consciousness model is testable on these specific terms.</w:t>
      </w:r>
      <w:r>
        <w:t xml:space="preserve">”</w:t>
      </w:r>
      <w:r>
        <w:t xml:space="preserve">]</w:t>
      </w:r>
    </w:p>
    <w:p>
      <w:pPr>
        <w:pStyle w:val="BodyText"/>
      </w:pPr>
      <w:r>
        <w:t xml:space="preserve">Ten predictions. The framework’s consciousness model is testable — not comprehensively, not all on the same timescale, but specifically, in ways pre-registerable protocols can address. That is the framework’s entitlement to continue claiming consciousness in chapters 9, 11, and 12. If none of P-154 through P-163 is ever tested, or all of them yield nulls, the three downstream applications are weakened accordingly. This is what earned physical theory looks like: exposed to its empirical risks.</w:t>
      </w:r>
    </w:p>
    <w:p>
      <w:r>
        <w:pict>
          <v:rect style="width:0;height:1.5pt" o:hralign="center" o:hrstd="t" o:hr="t"/>
        </w:pict>
      </w:r>
    </w:p>
    <w:p>
      <w:pPr>
        <w:pStyle w:val="Heading2"/>
      </w:pPr>
      <w:bookmarkStart w:id="45" w:name="X462dbc98a0877f11502c137ae1732e9c8daa9bc"/>
      <w:r>
        <w:t xml:space="preserve">13.6 Connections to Ch. 9 (FTL), Ch. 11 (Communication), Ch. 12 (Life Detection)</w:t>
      </w:r>
      <w:bookmarkEnd w:id="45"/>
    </w:p>
    <w:p>
      <w:pPr>
        <w:pStyle w:val="FirstParagraph"/>
      </w:pPr>
      <w:r>
        <w:t xml:space="preserve">This section makes visible what has been implicit since §13.1: the theoretical foundation stated in §13.3 is load-bearing for three applications already in this volume, and each application imports a specific subset of the foundation’s commitments. A reader who accepts any of Ch. 9 §9.6, Ch. 11 §11.5, or Ch. 12 §12.5 is already accepting Ch. 13 §13.3; and a reader who falsifies Ch. 13 §13.5 has consequences for all three downstream chapters.</w:t>
      </w:r>
    </w:p>
    <w:p>
      <w:pPr>
        <w:pStyle w:val="BodyText"/>
      </w:pPr>
      <w:r>
        <w:t xml:space="preserve">Figure 6.13.4 (placed in §13.1) shows the dependency structure graphically. In this section we walk through each dependency and state explicitly what a falsification at the Ch. 13 level would do to the downstream application.</w:t>
      </w:r>
    </w:p>
    <w:p>
      <w:pPr>
        <w:pStyle w:val="Heading3"/>
      </w:pPr>
      <w:bookmarkStart w:id="46" w:name="what-ch.-9-9.6-imports"/>
      <w:r>
        <w:t xml:space="preserve">13.6.1 What Ch. 9 §9.6 Imports</w:t>
      </w:r>
      <w:bookmarkEnd w:id="46"/>
    </w:p>
    <w:p>
      <w:pPr>
        <w:pStyle w:val="FirstParagraph"/>
      </w:pPr>
      <w:r>
        <w:t xml:space="preserve">Chapter 9’s Mechanism 5 (consciousness interface via Zone 1) imports from Ch. 13:</w:t>
      </w:r>
    </w:p>
    <w:p>
      <w:pPr>
        <w:numPr>
          <w:ilvl w:val="0"/>
          <w:numId w:val="1003"/>
        </w:numPr>
        <w:pStyle w:val="Compact"/>
      </w:pPr>
      <w:r>
        <w:t xml:space="preserve">The factorization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(Eq. 13.3.1), without which there is no Zone 1 component to enable the FTL mechanism.</w:t>
      </w:r>
    </w:p>
    <w:p>
      <w:pPr>
        <w:numPr>
          <w:ilvl w:val="0"/>
          <w:numId w:val="1003"/>
        </w:numPr>
        <w:pStyle w:val="Compact"/>
      </w:pPr>
      <w:r>
        <w:t xml:space="preserve">The information-only constraint (Implication 3 of §13.4.1), which is why the consciousness mechanism transports information but not matter or energy.</w:t>
      </w:r>
    </w:p>
    <w:p>
      <w:pPr>
        <w:numPr>
          <w:ilvl w:val="0"/>
          <w:numId w:val="1003"/>
        </w:numPr>
        <w:pStyle w:val="Compact"/>
      </w:pPr>
      <w:r>
        <w:t xml:space="preserve">The shared Zone 1 connection point picture (§13.3.4), which is the mathematical structure of the FTL transfer.</w:t>
      </w:r>
    </w:p>
    <w:p>
      <w:pPr>
        <w:pStyle w:val="FirstParagraph"/>
      </w:pPr>
      <w:r>
        <w:t xml:space="preserve">If Ch. 13’s §13.3 factorization is rejected — say, by a well-powered null on P-154 that establishes</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uncontrollable to a precision below</w:t>
      </w:r>
      <w:r>
        <w:t xml:space="preserve"> </w:t>
      </w:r>
      <m:oMath>
        <m:r>
          <m:t>d</m:t>
        </m:r>
        <m:r>
          <m:t>=</m:t>
        </m:r>
        <m:sSup>
          <m:e>
            <m:r>
              <m:t>10</m:t>
            </m:r>
          </m:e>
          <m:sup>
            <m:r>
              <m:t>−</m:t>
            </m:r>
            <m:r>
              <m:t>6</m:t>
            </m:r>
          </m:sup>
        </m:sSup>
      </m:oMath>
      <w:r>
        <w:t xml:space="preserve"> </w:t>
      </w:r>
      <w:r>
        <w:t xml:space="preserve">— the FTL mechanism is reduced to a theoretical possibility with no engineering path, which is exactly what P-162 states. If §13.3’s factorization is supported — say, by a positive P-154 signal — the FTL mechanism gains one TRL level (from 1 to 2), not a transformative jump but the first such promotion in the mechanism’s history.</w:t>
      </w:r>
    </w:p>
    <w:p>
      <w:pPr>
        <w:pStyle w:val="Heading3"/>
      </w:pPr>
      <w:bookmarkStart w:id="47" w:name="what-ch.-11-11.5-imports"/>
      <w:r>
        <w:t xml:space="preserve">13.6.2 What Ch. 11 §11.5 Imports</w:t>
      </w:r>
      <w:bookmarkEnd w:id="47"/>
    </w:p>
    <w:p>
      <w:pPr>
        <w:pStyle w:val="FirstParagraph"/>
      </w:pPr>
      <w:r>
        <w:t xml:space="preserve">Chapter 11’s Mechanism 4 (consciousness-interface communication) imports:</w:t>
      </w:r>
    </w:p>
    <w:p>
      <w:pPr>
        <w:numPr>
          <w:ilvl w:val="0"/>
          <w:numId w:val="1004"/>
        </w:numPr>
        <w:pStyle w:val="Compact"/>
      </w:pPr>
      <w:r>
        <w:t xml:space="preserve">The factorization (same as Ch. 9).</w:t>
      </w:r>
    </w:p>
    <w:p>
      <w:pPr>
        <w:numPr>
          <w:ilvl w:val="0"/>
          <w:numId w:val="1004"/>
        </w:numPr>
        <w:pStyle w:val="Compact"/>
      </w:pPr>
      <w:r>
        <w:t xml:space="preserve">The controllability requirement (the framework’s key conditional:</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must be volitionally modulable for the channel to transmit bits).</w:t>
      </w:r>
    </w:p>
    <w:p>
      <w:pPr>
        <w:numPr>
          <w:ilvl w:val="0"/>
          <w:numId w:val="1004"/>
        </w:numPr>
        <w:pStyle w:val="Compact"/>
      </w:pPr>
      <w:r>
        <w:t xml:space="preserve">The Zone 1 holographic capacity bound (Ch. 11 §11.5.3 Eq. 11.5.4), which depends on Reading A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 quantum state on a Hilbert space; §13.3.3).</w:t>
      </w:r>
    </w:p>
    <w:p>
      <w:pPr>
        <w:numPr>
          <w:ilvl w:val="0"/>
          <w:numId w:val="1004"/>
        </w:numPr>
        <w:pStyle w:val="Compact"/>
      </w:pPr>
      <w:r>
        <w:t xml:space="preserve">The information-only transport (same as Ch. 9).</w:t>
      </w:r>
    </w:p>
    <w:p>
      <w:pPr>
        <w:pStyle w:val="FirstParagraph"/>
      </w:pPr>
      <w:r>
        <w:t xml:space="preserve">Of the four imports, the second (controllability) is the one that P-154 tests most directly. A pre-registered null foreclosures the channel as a practical matter, which is P-163. A positive signal elevates the channel’s engineering status to TRL 2.</w:t>
      </w:r>
    </w:p>
    <w:p>
      <w:pPr>
        <w:pStyle w:val="BodyText"/>
      </w:pPr>
      <w:r>
        <w:t xml:space="preserve">Ch. 11 §11.5.3’s holographic capacity bound assumed Reading A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If Reading A turns out to be incorrect (for example, if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classical rather than quantum), the capacity bound’s derivation needs revisiting. The predictions P-154 through P-158 do not distinguish among Readings A/B/C, so a positive signal on the practical predictions would leave open the choice of reading — a scenario we flag in §13.9’s OP-13.4.</w:t>
      </w:r>
    </w:p>
    <w:p>
      <w:pPr>
        <w:pStyle w:val="Heading3"/>
      </w:pPr>
      <w:bookmarkStart w:id="48" w:name="what-ch.-12-12.5-imports"/>
      <w:r>
        <w:t xml:space="preserve">13.6.3 What Ch. 12 §12.5 Imports</w:t>
      </w:r>
      <w:bookmarkEnd w:id="48"/>
    </w:p>
    <w:p>
      <w:pPr>
        <w:pStyle w:val="FirstParagraph"/>
      </w:pPr>
      <w:r>
        <w:t xml:space="preserve">Chapter 12’s life-detection biosignature imports:</w:t>
      </w:r>
    </w:p>
    <w:p>
      <w:pPr>
        <w:numPr>
          <w:ilvl w:val="0"/>
          <w:numId w:val="1005"/>
        </w:numPr>
        <w:pStyle w:val="Compact"/>
      </w:pPr>
      <w:r>
        <w:t xml:space="preserve">The factorization (same as above).</w:t>
      </w:r>
    </w:p>
    <w:p>
      <w:pPr>
        <w:numPr>
          <w:ilvl w:val="0"/>
          <w:numId w:val="1005"/>
        </w:numPr>
        <w:pStyle w:val="Compact"/>
      </w:pPr>
      <w:r>
        <w:t xml:space="preserve">The sustaining-coupling connection (Ch. 12 §12.5 treated biological matter as having a distinctive</w:t>
      </w:r>
      <w:r>
        <w:t xml:space="preserve"> </w:t>
      </w:r>
      <m:oMath>
        <m:r>
          <m:t>κ</m:t>
        </m:r>
      </m:oMath>
      <w:r>
        <w:t xml:space="preserve"> </w:t>
      </w:r>
      <w:r>
        <w:t xml:space="preserve">relationship, itself rooted in the</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coupling of §13.3).</w:t>
      </w:r>
    </w:p>
    <w:p>
      <w:pPr>
        <w:numPr>
          <w:ilvl w:val="0"/>
          <w:numId w:val="1005"/>
        </w:numPr>
        <w:pStyle w:val="Compact"/>
      </w:pPr>
      <w:r>
        <w:t xml:space="preserve">The prediction that biological mass — specifically biologically-active biomass — has a zone-coupling signature distinguishable from organic-chemistry-only systems.</w:t>
      </w:r>
    </w:p>
    <w:p>
      <w:pPr>
        <w:pStyle w:val="FirstParagraph"/>
      </w:pPr>
      <w:r>
        <w:t xml:space="preserve">P-156 is the sharpest test of Ch. 12’s life-detection application. A successful instrument that responds to organic-chemistry complexity without distinguishing living from non-living organic systems would show that the Ch. 12 biosignature is not what the framework claims it is, though it might still be a useful biosignature on other grounds (it would, at that point, need a different theoretical interpretation, e.g., in terms of ordinary molecular dynamics).</w:t>
      </w:r>
    </w:p>
    <w:p>
      <w:pPr>
        <w:pStyle w:val="Heading3"/>
      </w:pPr>
      <w:bookmarkStart w:id="49" w:name="the-aggregate-dependency-picture"/>
      <w:r>
        <w:t xml:space="preserve">13.6.4 The Aggregate Dependency Picture</w:t>
      </w:r>
      <w:bookmarkEnd w:id="49"/>
    </w:p>
    <w:p>
      <w:pPr>
        <w:pStyle w:val="FirstParagraph"/>
      </w:pPr>
      <w:r>
        <w:t xml:space="preserve">Across the three applications, Ch. 13 §13.3 is the single common import. This is the load-bearing theoretical claim:</w:t>
      </w:r>
      <w:r>
        <w:t xml:space="preserve"> </w:t>
      </w:r>
      <w:r>
        <w:rPr>
          <w:b/>
        </w:rPr>
        <w:t xml:space="preserve">conscious subsystems have a non-trivial</w:t>
      </w:r>
      <w:r>
        <w:rPr>
          <w:b/>
        </w:rP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rPr>
          <w:b/>
        </w:rPr>
        <w:t xml:space="preserve"> </w:t>
      </w:r>
      <w:r>
        <w:rPr>
          <w:b/>
        </w:rPr>
        <w:t xml:space="preserve">factor on Zone 1</w:t>
      </w:r>
      <w:r>
        <w:t xml:space="preserve">. If that claim is correct, three applications become physical; if incorrect, all three are weakened simultaneously.</w:t>
      </w:r>
    </w:p>
    <w:p>
      <w:pPr>
        <w:pStyle w:val="BodyText"/>
      </w:pPr>
      <w:r>
        <w:t xml:space="preserve">The cross-prediction consistency of P-160 is the formal statement of this architectural fact. A reader who doubts the consciousness applications in Ch. 9/11/12 should not look for separate falsifications of each; they should look for falsification of the parent framework at §13.5. That is the efficient way to test the framework’s consciousness claims, and that is how we recommend any empirical research program be structured.</w:t>
      </w:r>
    </w:p>
    <w:p>
      <w:r>
        <w:pict>
          <v:rect style="width:0;height:1.5pt" o:hralign="center" o:hrstd="t" o:hr="t"/>
        </w:pict>
      </w:r>
    </w:p>
    <w:p>
      <w:pPr>
        <w:pStyle w:val="Heading2"/>
      </w:pPr>
      <w:bookmarkStart w:id="50" w:name="the-phenomenology-gap"/>
      <w:r>
        <w:t xml:space="preserve">13.7 The Phenomenology Gap</w:t>
      </w:r>
      <w:bookmarkEnd w:id="50"/>
    </w:p>
    <w:p>
      <w:pPr>
        <w:pStyle w:val="FirstParagraph"/>
      </w:pPr>
      <w:r>
        <w:t xml:space="preserve">We have spent six sections stating what the framework implies about consciousness. This section states what it does not — specifically, it does not derive the phenomenology of conscious experience, and the remainder of this section is about why that silence is disciplined rather than evasive.</w:t>
      </w:r>
    </w:p>
    <w:p>
      <w:pPr>
        <w:pStyle w:val="BodyText"/>
      </w:pPr>
      <w:r>
        <w:t xml:space="preserve">The hard problem of consciousness, as formulated by David Chalmers in 1995 and developed by a generation of philosophers of mind since, is the explanatory gap between physical processes and subjective experience. Call this the</w:t>
      </w:r>
      <w:r>
        <w:t xml:space="preserve"> </w:t>
      </w:r>
      <w:r>
        <w:rPr>
          <w:i/>
        </w:rPr>
        <w:t xml:space="preserve">what-it-is-like</w:t>
      </w:r>
      <w:r>
        <w:t xml:space="preserve"> </w:t>
      </w:r>
      <w:r>
        <w:t xml:space="preserve">question. Thomas Nagel’s example was a bat: there is something it is like to be a bat, and whatever that something is, no description of the bat’s neural architecture — however complete — captures it. Chalmers generalized the argument. Any fully physical description of a conscious subsystem is logically consistent with the subsystem lacking subjective experience entirely. The description does not derive the experience; at best, it describes the substrate on which the experience is instantiated.</w:t>
      </w:r>
    </w:p>
    <w:p>
      <w:pPr>
        <w:pStyle w:val="BodyText"/>
      </w:pPr>
      <w:r>
        <w:t xml:space="preserve">The framework described in §13.3 is exactly such a physical description. It gives an</w:t>
      </w:r>
      <w:r>
        <w:t xml:space="preserve"> </w:t>
      </w:r>
      <w:r>
        <w:rPr>
          <w:i/>
        </w:rPr>
        <w:t xml:space="preserve">architecture</w:t>
      </w:r>
      <w:r>
        <w:t xml:space="preserve"> </w:t>
      </w:r>
      <w:r>
        <w:t xml:space="preserve">— a structural account of the subsystem — and it does not derive the</w:t>
      </w:r>
      <w:r>
        <w:t xml:space="preserve"> </w:t>
      </w:r>
      <w:r>
        <w:rPr>
          <w:i/>
        </w:rPr>
        <w:t xml:space="preserve">phenomenology</w:t>
      </w:r>
      <w:r>
        <w:t xml:space="preserve">. Whatever it is like to be a conscious being, in the Nagel sense, is not captured by the factorization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The equation says only what the subsystem’s wavefunction looks like; it does not say what having that wavefunction is like from the inside.</w:t>
      </w:r>
    </w:p>
    <w:p>
      <w:pPr>
        <w:pStyle w:val="BodyText"/>
      </w:pPr>
      <w:r>
        <w:t xml:space="preserve">This is worth elaborating, because a charitable reader might wonder whether the framework’s bulk-side component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on Zone 1) is secretly doing the work that ordinary physical descriptions fail to do. Perhaps, the reasoning would go, the reason subjective experience has seemed inaccessible to 4D physics is that it has been trying to derive phenomenology from brane-side substrate alone. Add the Zone 1 component, and perhaps the phenomenology falls out.</w:t>
      </w:r>
    </w:p>
    <w:p>
      <w:pPr>
        <w:pStyle w:val="BodyText"/>
      </w:pPr>
      <w:r>
        <w:t xml:space="preserve">It does not. Here is why.</w:t>
      </w:r>
    </w:p>
    <w:p>
      <w:pPr>
        <w:pStyle w:val="BodyText"/>
      </w:pPr>
      <w:r>
        <w:rPr>
          <w:b/>
        </w:rPr>
        <w:t xml:space="preserve">Adding Zone 1 degrees of freedom does not solve the hard problem; it only adds more degrees of freedom.</w:t>
      </w:r>
      <w:r>
        <w:t xml:space="preserve"> </w:t>
      </w:r>
      <w:r>
        <w:t xml:space="preserve">A factorization of the total wavefunction across brane and Zone 1 sectors gives us a richer set of structural variables — amplitudes, phases, correlations, entanglement patterns on both sides of the tensor product. None of these structural variables is, in any obvious way, a variable of subjective experience. A complete specification of</w:t>
      </w:r>
      <w:r>
        <w:t xml:space="preserve"> </w:t>
      </w:r>
      <m:oMath>
        <m:sSub>
          <m:e>
            <m:r>
              <m:t>Ψ</m:t>
            </m:r>
          </m:e>
          <m:sub>
            <m:r>
              <m:rPr>
                <m:sty m:val="p"/>
              </m:rPr>
              <m:t>b</m:t>
            </m:r>
            <m:r>
              <m:rPr>
                <m:sty m:val="p"/>
              </m:rPr>
              <m:t>o</m:t>
            </m:r>
            <m:r>
              <m:rPr>
                <m:sty m:val="p"/>
              </m:rPr>
              <m:t>d</m:t>
            </m:r>
            <m:r>
              <m:rPr>
                <m:sty m:val="p"/>
              </m:rPr>
              <m:t>y</m:t>
            </m:r>
          </m:sub>
        </m:sSub>
      </m:oMath>
      <w:r>
        <w:t xml:space="preserve"> </w:t>
      </w:r>
      <w:r>
        <w:t xml:space="preserve">and</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at a brane-time</w:t>
      </w:r>
      <w:r>
        <w:t xml:space="preserve"> </w:t>
      </w:r>
      <m:oMath>
        <m:r>
          <m:t>t</m:t>
        </m:r>
      </m:oMath>
      <w:r>
        <w:t xml:space="preserve"> </w:t>
      </w:r>
      <w:r>
        <w:t xml:space="preserve">is still a specification of abstract mathematical objects, and the hard problem is exactly that any such specification is logically consistent with the subsystem being phenomenally empty.</w:t>
      </w:r>
    </w:p>
    <w:p>
      <w:pPr>
        <w:pStyle w:val="BodyText"/>
      </w:pPr>
      <w:r>
        <w:rPr>
          <w:b/>
        </w:rPr>
        <w:t xml:space="preserve">The analogy with electromagnetism is exact.</w:t>
      </w:r>
      <w:r>
        <w:t xml:space="preserve"> </w:t>
      </w:r>
      <w:r>
        <w:t xml:space="preserve">Maxwell’s equations describe the propagation of electromagnetic waves of a given wavelength and amplitude. They do not describe the redness of red. That descriptive gap is not a failure of Maxwell’s equations — they are doing their job exactly — but a limitation of physics as a discipline. Physics describes the structure of the carrier, not the subjective quality of the carried. The framework described in this chapter is doing the structural work; it is not, nor is it trying to be, a theory of qualia.</w:t>
      </w:r>
    </w:p>
    <w:p>
      <w:pPr>
        <w:pStyle w:val="BodyText"/>
      </w:pPr>
      <w:r>
        <w:rPr>
          <w:b/>
        </w:rPr>
        <w:t xml:space="preserve">What the framework’s silence on phenomenology is not.</w:t>
      </w:r>
      <w:r>
        <w:t xml:space="preserve"> </w:t>
      </w:r>
      <w:r>
        <w:t xml:space="preserve">It is not silence because the framework believes the hard problem is pseudo-problematic. The framework takes no position on illusionism versus realism about phenomenal consciousness. Neither is it silence because the framework expects the hard problem to be solved by neuroscience or by computation theory alone; the framework does not endorse any specific research program on the hard problem. Nor is it silence because the framework expects the hard problem to require theology or phenomenology proper; it does not.</w:t>
      </w:r>
    </w:p>
    <w:p>
      <w:pPr>
        <w:pStyle w:val="BodyText"/>
      </w:pPr>
      <w:r>
        <w:t xml:space="preserve">The silence is silence because the framework is physics, and physics, however sophisticated, does not have tools that reliably bridge the structural-to-phenomenal gap. Some readers — those sympathetic to Chalmers — will read this silence as honest recognition of a boundary; others — those sympathetic to Dennett — will read it as confirmation that the framework has bought into a problem that does not exist. The framework does not attempt to resolve the dispute. It simply notes that whichever side of the Chalmers/Dennett debate one takes, the framework’s structural account is compatible with the position one takes.</w:t>
      </w:r>
    </w:p>
    <w:p>
      <w:pPr>
        <w:pStyle w:val="BodyText"/>
      </w:pPr>
      <w:r>
        <w:rPr>
          <w:b/>
        </w:rPr>
        <w:t xml:space="preserve">Five sub-claims the framework explicitly refuses to make.</w:t>
      </w:r>
      <w:r>
        <w:t xml:space="preserve"> </w:t>
      </w:r>
      <w:r>
        <w:t xml:space="preserve">(i) It does not claim that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rPr>
          <w:i/>
        </w:rPr>
        <w:t xml:space="preserve">is</w:t>
      </w:r>
      <w:r>
        <w:t xml:space="preserve"> </w:t>
      </w:r>
      <w:r>
        <w:t xml:space="preserve">consciousness.</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wavefunction component; whether it is identical to, causally responsible for, or merely structurally correlated with conscious experience is a separate question. (ii) It does not claim a specific theory of qualia (panpsychist, functionalist, higher-order, global workspace, integrated information). (iii) It does not claim that brain-side quantum coherence (P-155) is sufficient for consciousness; it claims only that quantum coherence is necessary for the Zone 1 coupling that the framework’s applications require. (iv) It does not claim that any specific subjective experience (vision, memory, intention) corresponds to any specific feature of</w:t>
      </w:r>
      <w:r>
        <w:t xml:space="preserve"> </w:t>
      </w:r>
      <m:oMath>
        <m:sSub>
          <m:e>
            <m:r>
              <m:t>Ψ</m:t>
            </m:r>
          </m:e>
          <m:sub>
            <m:r>
              <m:rPr>
                <m:sty m:val="p"/>
              </m:rPr>
              <m:t>b</m:t>
            </m:r>
            <m:r>
              <m:rPr>
                <m:sty m:val="p"/>
              </m:rPr>
              <m:t>o</m:t>
            </m:r>
            <m:r>
              <m:rPr>
                <m:sty m:val="p"/>
              </m:rPr>
              <m:t>d</m:t>
            </m:r>
            <m:r>
              <m:rPr>
                <m:sty m:val="p"/>
              </m:rPr>
              <m:t>y</m:t>
            </m:r>
          </m:sub>
        </m:sSub>
      </m:oMath>
      <w:r>
        <w:t xml:space="preserve"> </w:t>
      </w:r>
      <w:r>
        <w:t xml:space="preserve">or</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(v) It does not claim to unify the</w:t>
      </w:r>
      <w:r>
        <w:t xml:space="preserve"> </w:t>
      </w:r>
      <w:r>
        <w:t xml:space="preserve">“</w:t>
      </w:r>
      <w:r>
        <w:t xml:space="preserve">easy problems</w:t>
      </w:r>
      <w:r>
        <w:t xml:space="preserve">”</w:t>
      </w:r>
      <w:r>
        <w:t xml:space="preserve"> </w:t>
      </w:r>
      <w:r>
        <w:t xml:space="preserve">(perception, learning, attention) with the hard problem; it does not even attempt the easy problems in the Chalmersian sense, which is a project for cognitive neuroscience.</w:t>
      </w:r>
    </w:p>
    <w:p>
      <w:pPr>
        <w:pStyle w:val="BodyText"/>
      </w:pPr>
      <w:r>
        <w:t xml:space="preserve">The framework’s self-restraint here is intentional. Every previous quantum-consciousness program — from the early Wigner-inspired speculations to the Orch-OR proposal to Integrated Information Theory’s quantum extensions — has either overclaimed on the phenomenology question or dissolved into interpretive squabbling when pressed. The framework chooses a third option: do the structural work, do it carefully, and do not pretend to do more. §13.9’s OP-13.6 registers the phenomenology bridge as an open problem; but an open problem is honest, and a closed problem with no solution is not.</w:t>
      </w:r>
    </w:p>
    <w:p>
      <w:pPr>
        <w:pStyle w:val="BodyText"/>
      </w:pPr>
      <w:r>
        <w:t xml:space="preserve">A last remark before we turn to theology. A reader may object that by acknowledging the phenomenology gap, we have effectively conceded that the framework’s consciousness model is empty — that it describes an architecture for a black box without saying what is in the box. To that objection we reply: every physical theory describes a structure without telling us what it is like to be inside that structure. Quantum field theory describes the propagation of the photon without telling us what a photon experiences (nothing, as far as we know, but quantum field theory is not committed on the question). The framework is in the same position. It describes an architecture for conscious subsystems; what such subsystems experience is a separate question, and the framework is silent on it. That silence is not a defect. It is the boundary of physics, honestly marked.</w:t>
      </w:r>
    </w:p>
    <w:p>
      <w:pPr>
        <w:pStyle w:val="BodyText"/>
      </w:pPr>
      <w:r>
        <w:t xml:space="preserve">[FIGURE: Fig 6.13.3 — The Phenomenology Gap. Diagram with two side-by-side panels. Left panel labeled</w:t>
      </w:r>
      <w:r>
        <w:t xml:space="preserve"> </w:t>
      </w:r>
      <w:r>
        <w:t xml:space="preserve">“</w:t>
      </w:r>
      <w:r>
        <w:t xml:space="preserve">What the math describes</w:t>
      </w:r>
      <w:r>
        <w:t xml:space="preserve">”</w:t>
      </w:r>
      <w:r>
        <w:t xml:space="preserve">: an abstract diagram of Ψ_body ⊗ Ψ_spirit with the factorization equation, arrows to the brane and to Zone 1, annotations showing structural variables (amplitude, phase, correlation, entanglement). Right panel labeled</w:t>
      </w:r>
      <w:r>
        <w:t xml:space="preserve"> </w:t>
      </w:r>
      <w:r>
        <w:t xml:space="preserve">“</w:t>
      </w:r>
      <w:r>
        <w:t xml:space="preserve">What the math does NOT describe</w:t>
      </w:r>
      <w:r>
        <w:t xml:space="preserve">”</w:t>
      </w:r>
      <w:r>
        <w:t xml:space="preserve">: a stylized subjective-experience symbol (a thought bubble, a Nagel-bat silhouette, an</w:t>
      </w:r>
      <w:r>
        <w:t xml:space="preserve"> </w:t>
      </w:r>
      <w:r>
        <w:t xml:space="preserve">“</w:t>
      </w:r>
      <w:r>
        <w:t xml:space="preserve">eye looking inward</w:t>
      </w:r>
      <w:r>
        <w:t xml:space="preserve">”</w:t>
      </w:r>
      <w:r>
        <w:t xml:space="preserve"> </w:t>
      </w:r>
      <w:r>
        <w:t xml:space="preserve">icon) with a dashed boundary between the two panels marked</w:t>
      </w:r>
      <w:r>
        <w:t xml:space="preserve"> </w:t>
      </w:r>
      <w:r>
        <w:t xml:space="preserve">“</w:t>
      </w:r>
      <w:r>
        <w:t xml:space="preserve">currently unmapped — the hard problem.</w:t>
      </w:r>
      <w:r>
        <w:t xml:space="preserve">”</w:t>
      </w:r>
      <w:r>
        <w:t xml:space="preserve"> </w:t>
      </w:r>
      <w:r>
        <w:t xml:space="preserve">A caption at the bottom reads:</w:t>
      </w:r>
      <w:r>
        <w:t xml:space="preserve"> </w:t>
      </w:r>
      <w:r>
        <w:t xml:space="preserve">“</w:t>
      </w:r>
      <w:r>
        <w:t xml:space="preserve">The framework provides architecture, not phenomenology. What it is like to be conscious is not derivable from the factorization; this is a feature of the framework’s discipline, not a defect of its physics.</w:t>
      </w:r>
      <w:r>
        <w:t xml:space="preserve">”</w:t>
      </w:r>
      <w:r>
        <w:t xml:space="preserve">]</w:t>
      </w:r>
    </w:p>
    <w:p>
      <w:r>
        <w:pict>
          <v:rect style="width:0;height:1.5pt" o:hralign="center" o:hrstd="t" o:hr="t"/>
        </w:pict>
      </w:r>
    </w:p>
    <w:p>
      <w:pPr>
        <w:pStyle w:val="Heading2"/>
      </w:pPr>
      <w:bookmarkStart w:id="51" w:name="Xc4a5c25f3edd343d8a2f07ac4a0387c4990a5f8"/>
      <w:r>
        <w:t xml:space="preserve">13.8 Theological Humility — What the Framework Claims and What It Does Not</w:t>
      </w:r>
      <w:bookmarkEnd w:id="51"/>
    </w:p>
    <w:p>
      <w:pPr>
        <w:pStyle w:val="FirstParagraph"/>
      </w:pPr>
      <w:r>
        <w:t xml:space="preserve">This is the section that the Theologian reviewer will read most closely, and that a reader hostile to theology in physics will read most closely. We will write it for both.</w:t>
      </w:r>
    </w:p>
    <w:p>
      <w:pPr>
        <w:pStyle w:val="BodyText"/>
      </w:pPr>
      <w:r>
        <w:t xml:space="preserve">The framework sits in close structural proximity to several theological categories. Zone 1 is atemporal; so is the God of classical theism.</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non-brane-side component of a conscious subsystem; so is the soul in traditional anthropology. Shared Zone 1 connection points between conscious agents permit information transfer without temporal ordering; the practice of prayer has been described in comparable terms for two millennia. The proximity is real, not manufactured.</w:t>
      </w:r>
    </w:p>
    <w:p>
      <w:pPr>
        <w:pStyle w:val="BodyText"/>
      </w:pPr>
      <w:r>
        <w:t xml:space="preserve">But proximity is not identity, and the discipline that has held through twelve prior volumes of this series holds here as well. Physics can notice structural resemblances between its derivations and theological concepts without claiming that the theological concepts are derivable from physics or that the physics concepts are reducible to theology. The discipline is what allows both physics and theology to retain their distinctive claims and tools. We will maintain it.</w:t>
      </w:r>
    </w:p>
    <w:p>
      <w:pPr>
        <w:pStyle w:val="Heading3"/>
      </w:pPr>
      <w:bookmarkStart w:id="52" w:name="Xcf09793a64ddee005ef9ddc359676356588516b"/>
      <w:r>
        <w:t xml:space="preserve">13.8.1 What the Framework Claims That Is Near Theology</w:t>
      </w:r>
      <w:bookmarkEnd w:id="52"/>
    </w:p>
    <w:p>
      <w:pPr>
        <w:pStyle w:val="FirstParagraph"/>
      </w:pPr>
      <w:r>
        <w:t xml:space="preserve">First, we state what the framework actually claims where it touches theological territory.</w:t>
      </w:r>
    </w:p>
    <w:p>
      <w:pPr>
        <w:pStyle w:val="BodyText"/>
      </w:pPr>
      <w:r>
        <w:rPr>
          <w:b/>
        </w:rPr>
        <w:t xml:space="preserve">The framework claims:</w:t>
      </w:r>
    </w:p>
    <w:p>
      <w:pPr>
        <w:numPr>
          <w:ilvl w:val="0"/>
          <w:numId w:val="1006"/>
        </w:numPr>
      </w:pPr>
      <w:r>
        <w:t xml:space="preserve">The 6D zone manifold has a domain called Zone 1 with the metric</w:t>
      </w:r>
      <w:r>
        <w:t xml:space="preserve"> </w:t>
      </w:r>
      <m:oMath>
        <m:r>
          <m:t>d</m:t>
        </m:r>
        <m:sSubSup>
          <m:e>
            <m:r>
              <m:t>s</m:t>
            </m:r>
          </m:e>
          <m:sub>
            <m:r>
              <m:t>Z</m:t>
            </m:r>
            <m:r>
              <m:t>1</m:t>
            </m:r>
          </m:sub>
          <m:sup>
            <m:r>
              <m:t>2</m:t>
            </m:r>
          </m:sup>
        </m:sSubSup>
        <m:r>
          <m:t>=</m:t>
        </m:r>
        <m:sSub>
          <m:e>
            <m:r>
              <m:t>h</m:t>
            </m:r>
          </m:e>
          <m:sub>
            <m:r>
              <m:t>S</m:t>
            </m:r>
            <m:r>
              <m:t>S</m:t>
            </m:r>
          </m:sub>
        </m:sSub>
        <m:r>
          <m:t>(</m:t>
        </m:r>
        <m:r>
          <m:t>S</m:t>
        </m:r>
        <m:r>
          <m:t>)</m:t>
        </m:r>
        <m:r>
          <m:t> </m:t>
        </m:r>
        <m:r>
          <m:t>d</m:t>
        </m:r>
        <m:r>
          <m:t>S</m:t>
        </m:r>
        <m:r>
          <m:t>⋅</m:t>
        </m:r>
        <m:r>
          <m:t>d</m:t>
        </m:r>
        <m:r>
          <m:t>S</m:t>
        </m:r>
      </m:oMath>
      <w:r>
        <w:t xml:space="preserve"> </w:t>
      </w:r>
      <w:r>
        <w:t xml:space="preserve">(Eq. 13.3.2), derived in Vol. 4 Ch. 8 from the 6D Einstein equations. This domain is atemporal in the precise sense that its metric has no timelike component.</w:t>
      </w:r>
    </w:p>
    <w:p>
      <w:pPr>
        <w:numPr>
          <w:ilvl w:val="0"/>
          <w:numId w:val="1006"/>
        </w:numPr>
      </w:pPr>
      <w:r>
        <w:t xml:space="preserve">The composite wavefunction factorization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mathematically consistent with the zone architecture, with</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 wavefunction component localized on Zone 1 (§13.3).</w:t>
      </w:r>
    </w:p>
    <w:p>
      <w:pPr>
        <w:numPr>
          <w:ilvl w:val="0"/>
          <w:numId w:val="1006"/>
        </w:numPr>
      </w:pPr>
      <w:r>
        <w:t xml:space="preserve">If the factorization corresponds to physical consciousness — an open empirical question, tested by the predictions of §13.5 — then specific structural consequences follow: information-bearing (not energy-bearing) coupling, atemporal structure for the bulk component, shared-connection-point geometry between distinct agents.</w:t>
      </w:r>
    </w:p>
    <w:p>
      <w:pPr>
        <w:numPr>
          <w:ilvl w:val="0"/>
          <w:numId w:val="1006"/>
        </w:numPr>
      </w:pPr>
      <w:r>
        <w:t xml:space="preserve">These structural consequences are, in their mathematical form, consistent with several descriptions found in classical theological texts: divine timelessness (Augustine, Boethius); the imago Dei implication of a human component that shares atemporal structure with the divine; the information-only nature of what prayer, if effective, would effect (a position consistent with classical theology’s insistence that prayer’s efficacy is not through physical causation).</w:t>
      </w:r>
    </w:p>
    <w:p>
      <w:pPr>
        <w:pStyle w:val="FirstParagraph"/>
      </w:pPr>
      <w:r>
        <w:rPr>
          <w:b/>
        </w:rPr>
        <w:t xml:space="preserve">Consistency in claim 4 is meant in its technical sense.</w:t>
      </w:r>
      <w:r>
        <w:t xml:space="preserve"> </w:t>
      </w:r>
      <w:r>
        <w:t xml:space="preserve">Two statements are consistent if they can both be true simultaneously without contradiction. Consistency is not derivation. The framework’s claims are consistent with certain theological readings; the framework does not derive those theological readings, nor is it a substitute for them, nor does it place them on scientific footing they did not previously have.</w:t>
      </w:r>
    </w:p>
    <w:p>
      <w:pPr>
        <w:pStyle w:val="Heading3"/>
      </w:pPr>
      <w:bookmarkStart w:id="53" w:name="what-the-framework-does-not-claim"/>
      <w:r>
        <w:t xml:space="preserve">13.8.2 What the Framework Does Not Claim</w:t>
      </w:r>
      <w:bookmarkEnd w:id="53"/>
    </w:p>
    <w:p>
      <w:pPr>
        <w:pStyle w:val="FirstParagraph"/>
      </w:pPr>
      <w:r>
        <w:t xml:space="preserve">Five specific theological claims the framework does</w:t>
      </w:r>
      <w:r>
        <w:t xml:space="preserve"> </w:t>
      </w:r>
      <w:r>
        <w:rPr>
          <w:i/>
        </w:rPr>
        <w:t xml:space="preserve">not</w:t>
      </w:r>
      <w:r>
        <w:t xml:space="preserve"> </w:t>
      </w:r>
      <w:r>
        <w:t xml:space="preserve">make.</w:t>
      </w:r>
    </w:p>
    <w:p>
      <w:pPr>
        <w:pStyle w:val="BodyText"/>
      </w:pPr>
      <w:r>
        <w:rPr>
          <w:b/>
        </w:rPr>
        <w:t xml:space="preserve">Not claimed 1 — Zone 1 is Heaven.</w:t>
      </w:r>
      <w:r>
        <w:t xml:space="preserve"> </w:t>
      </w:r>
      <w:r>
        <w:t xml:space="preserve">Zone 1 is a mathematical domain with specific geometric properties. Whether it is the Heaven of classical theology, or the</w:t>
      </w:r>
      <w:r>
        <w:t xml:space="preserve"> </w:t>
      </w:r>
      <w:r>
        <w:t xml:space="preserve">“</w:t>
      </w:r>
      <w:r>
        <w:t xml:space="preserve">spirit realm</w:t>
      </w:r>
      <w:r>
        <w:t xml:space="preserve">”</w:t>
      </w:r>
      <w:r>
        <w:t xml:space="preserve"> </w:t>
      </w:r>
      <w:r>
        <w:t xml:space="preserve">of contemporary folk metaphysics, or a dimension of eschatological existence, or some other theological category, is a question that (a) physics cannot answer, because the answer requires theological judgments physics does not have tools for, and (b) the framework does not attempt to answer. Theologians may notice structural resemblances and draw their own conclusions on their discipline’s terms; physics does not claim their terrain.</w:t>
      </w:r>
    </w:p>
    <w:p>
      <w:pPr>
        <w:pStyle w:val="BodyText"/>
      </w:pPr>
      <w:r>
        <w:rPr>
          <w:b/>
        </w:rPr>
        <w:t xml:space="preserve">Not claimed 2 — Ψ_spirit is the soul.</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wavefunction component with specific mathematical properties. Whether it is the soul (Aristotelian, Thomistic, or modern), the nephesh of the Hebrew Bible, the ātman of the Upaniṣads, the Hegelian spirit, or any other philosophical/theological category, is again a question outside the framework’s jurisdiction. The chapter uses</w:t>
      </w:r>
      <w:r>
        <w:t xml:space="preserve"> </w:t>
      </w:r>
      <w:r>
        <w:t xml:space="preserve">“</w:t>
      </w:r>
      <w:r>
        <w:t xml:space="preserve">spirit</w:t>
      </w:r>
      <w:r>
        <w:t xml:space="preserve">”</w:t>
      </w:r>
      <w:r>
        <w:t xml:space="preserve"> </w:t>
      </w:r>
      <w:r>
        <w:t xml:space="preserve">as a technical label for a mathematical object, following the framework’s longstanding convention of using theological-adjacent terms as motivation-markers while treating them as physics terms in context.</w:t>
      </w:r>
    </w:p>
    <w:p>
      <w:pPr>
        <w:pStyle w:val="BodyText"/>
      </w:pPr>
      <w:r>
        <w:rPr>
          <w:b/>
        </w:rPr>
        <w:t xml:space="preserve">Not claimed 3 — Free will is derived.</w:t>
      </w:r>
      <w:r>
        <w:t xml:space="preserve"> </w:t>
      </w:r>
      <w:r>
        <w:t xml:space="preserve">The controllability question of §13.5 P-154 is a physics question with a clean empirical test. It is</w:t>
      </w:r>
      <w:r>
        <w:t xml:space="preserve"> </w:t>
      </w:r>
      <w:r>
        <w:rPr>
          <w:i/>
        </w:rPr>
        <w:t xml:space="preserve">related to</w:t>
      </w:r>
      <w:r>
        <w:t xml:space="preserve"> </w:t>
      </w:r>
      <w:r>
        <w:t xml:space="preserve">free will but not identical to it. A positive P-154 result would show that</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volitionally modulable in some degree; it would not resolve the metaphysical debate between libertarian and compatibilist accounts of free will, nor would it address the theological question of divine sovereignty versus creaturely agency. The framework makes no claim about free will proper.</w:t>
      </w:r>
    </w:p>
    <w:p>
      <w:pPr>
        <w:pStyle w:val="BodyText"/>
      </w:pPr>
      <w:r>
        <w:rPr>
          <w:b/>
        </w:rPr>
        <w:t xml:space="preserve">Not claimed 4 — The existence of the divine is confirmed.</w:t>
      </w:r>
      <w:r>
        <w:t xml:space="preserve"> </w:t>
      </w:r>
      <w:r>
        <w:t xml:space="preserve">The framework has said nothing about God at all. Zone 1 is a geometric domain;</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a wavefunction component; consciousness is a subsystem with a specific factorization. None of this constitutes a proof of — or even a positive claim about — the existence of a Creator. The framework’s consistency with a theistic worldview (and its equal consistency with several non-theistic worldviews) is a feature, not a confession. A reader who reads this chapter as a theological argument is reading things into it that are not there.</w:t>
      </w:r>
    </w:p>
    <w:p>
      <w:pPr>
        <w:pStyle w:val="BodyText"/>
      </w:pPr>
      <w:r>
        <w:rPr>
          <w:b/>
        </w:rPr>
        <w:t xml:space="preserve">Not claimed 5 — Scripture is a physics textbook.</w:t>
      </w:r>
      <w:r>
        <w:t xml:space="preserve"> </w:t>
      </w:r>
      <w:r>
        <w:t xml:space="preserve">The series’ debt to scriptural architecture (Genesis 1’s firmament, waters, zones) is motivational and hermeneutical, not evidentiary. No passage of scripture is, in this framework, a proof of a physics claim. Where the framework’s architecture matches scripture’s architecture, we have explained why the match exists: scripture, on a literal-architectural reading, describes the structure of creation in language that the framework’s derivations recover from physics. But</w:t>
      </w:r>
      <w:r>
        <w:t xml:space="preserve"> </w:t>
      </w:r>
      <w:r>
        <w:t xml:space="preserve">“</w:t>
      </w:r>
      <w:r>
        <w:t xml:space="preserve">the scripture and the derivation agree</w:t>
      </w:r>
      <w:r>
        <w:t xml:space="preserve">”</w:t>
      </w:r>
      <w:r>
        <w:t xml:space="preserve"> </w:t>
      </w:r>
      <w:r>
        <w:t xml:space="preserve">is not the same as</w:t>
      </w:r>
      <w:r>
        <w:t xml:space="preserve"> </w:t>
      </w:r>
      <w:r>
        <w:t xml:space="preserve">“</w:t>
      </w:r>
      <w:r>
        <w:t xml:space="preserve">the scripture proves the derivation.</w:t>
      </w:r>
      <w:r>
        <w:t xml:space="preserve">”</w:t>
      </w:r>
      <w:r>
        <w:t xml:space="preserve"> </w:t>
      </w:r>
      <w:r>
        <w:t xml:space="preserve">The framework could have derived Zone 1’s metric without any scriptural motivation; scripture could be correct about the architecture of creation without anyone needing to derive it from the 6D Einstein equations. The two agree; neither is evidence for the other in the discipline-preserving sense.</w:t>
      </w:r>
    </w:p>
    <w:p>
      <w:pPr>
        <w:pStyle w:val="Heading3"/>
      </w:pPr>
      <w:bookmarkStart w:id="54" w:name="scripture-as-motivation-not-argument"/>
      <w:r>
        <w:t xml:space="preserve">13.8.3 Scripture as Motivation, Not Argument</w:t>
      </w:r>
      <w:bookmarkEnd w:id="54"/>
    </w:p>
    <w:p>
      <w:pPr>
        <w:pStyle w:val="FirstParagraph"/>
      </w:pPr>
      <w:r>
        <w:t xml:space="preserve">Where scripture is cited in this chapter or in the framework generally, it is cited for motivation — as an indicator of where classical Hebrew cosmology anticipated structural features that physics is only now recovering — not as a physics argument. Two specific citations are relevant to this chapter:</w:t>
      </w:r>
    </w:p>
    <w:p>
      <w:pPr>
        <w:pStyle w:val="BodyText"/>
      </w:pPr>
      <w:r>
        <w:t xml:space="preserve">First, Genesis 1:2: וְר֣וּחַ אֱלֹהִ֔ים מְרַחֶ֖פֶת עַל־פְּנֵ֥י הַמָּֽיִם — the ruach (רוח) of God hovering over the waters. The framework’s naming of Zone 1 as the Creator’s domain is motivated by this passage in the hermeneutical sense developed in Vol. 1 Ch. 2 and Vol. 4 Ch. 8: Zone 1 is the atemporal domain from which the creative activity proceeds in the Genesis sequence, and ruach is the Hebrew term for the non-physical principle that hovers over the unformed waters. The framework’s claim is structural, not exegetical: the derived geometry of Zone 1 has properties that the scriptural description associates with ruach, and the naming honors the correspondence. The scripture is not the physics argument; the 6D Einstein equations are.</w:t>
      </w:r>
    </w:p>
    <w:p>
      <w:pPr>
        <w:pStyle w:val="BodyText"/>
      </w:pPr>
      <w:r>
        <w:t xml:space="preserve">Second, the soul/spirit distinction in 1 Thessalonians 5:23: αὐτὸς δὲ ὁ Θεὸς τῆς εἰρήνης ἁγιάσαι ὑμᾶς ὁλοτελεῖς, καὶ ὁλόκληρον ὑμῶν τὸ πνεῦμα καὶ ἡ ψυχὴ καὶ τὸ σῶμα — the Pauline triad of spirit, soul, and body. We note the tripartite anthropology not because the framework derives or confirms it (it does not), but because the framework’s</w:t>
      </w:r>
      <w:r>
        <w:t xml:space="preserve"> </w:t>
      </w:r>
      <m:oMath>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factorization is a</w:t>
      </w:r>
      <w:r>
        <w:t xml:space="preserve"> </w:t>
      </w:r>
      <w:r>
        <w:rPr>
          <w:i/>
        </w:rPr>
        <w:t xml:space="preserve">two-part</w:t>
      </w:r>
      <w:r>
        <w:t xml:space="preserve"> </w:t>
      </w:r>
      <w:r>
        <w:t xml:space="preserve">structural description, and a reader familiar with the three-part biblical anthropology may wonder whether</w:t>
      </w:r>
      <w:r>
        <w:t xml:space="preserve"> </w:t>
      </w:r>
      <w:r>
        <w:t xml:space="preserve">“</w:t>
      </w:r>
      <w:r>
        <w:t xml:space="preserve">soul</w:t>
      </w:r>
      <w:r>
        <w:t xml:space="preserve">”</w:t>
      </w:r>
      <w:r>
        <w:t xml:space="preserve"> </w:t>
      </w:r>
      <w:r>
        <w:t xml:space="preserve">(psyche, נֶפֶשׁ nephesh) has a framework correlate. The honest answer is: not currently. If the Pauline triad is correct, there is additional structure the framework has not identified. This is another of the open problems (§13.9 OP-13.4 and OP-13.5).</w:t>
      </w:r>
    </w:p>
    <w:p>
      <w:pPr>
        <w:pStyle w:val="BodyText"/>
      </w:pPr>
      <w:r>
        <w:t xml:space="preserve">Both citations are motivation-markers; neither is a physics argument. The chapter’s scriptural touches are always of this character.</w:t>
      </w:r>
    </w:p>
    <w:p>
      <w:pPr>
        <w:pStyle w:val="Heading3"/>
      </w:pPr>
      <w:bookmarkStart w:id="55" w:name="Xe5bcb10489b3b9620ddcc76a260180eed229feb"/>
      <w:r>
        <w:t xml:space="preserve">13.8.4 The Christological Thread — Where the Chapter Stops</w:t>
      </w:r>
      <w:bookmarkEnd w:id="55"/>
    </w:p>
    <w:p>
      <w:pPr>
        <w:pStyle w:val="FirstParagraph"/>
      </w:pPr>
      <w:r>
        <w:t xml:space="preserve">The series is, at its deepest level, an attempt to reveal the Creator through creation: to show that the architecture of physics, carefully followed, leads to the conclusion that the universe is made for a purpose consistent with the Christian revelation of God. This is the series’ long intention, registered in the Book 0 CLAUDE.md and in every volume’s writing prompt.</w:t>
      </w:r>
    </w:p>
    <w:p>
      <w:pPr>
        <w:pStyle w:val="BodyText"/>
      </w:pPr>
      <w:r>
        <w:t xml:space="preserve">In most chapters of this series, the Christological thread is carried by the architecture itself — the zones that reflect the days of creation, the Firmament that organizes the brane, the Waters that sustain it, the sustaining coupling</w:t>
      </w:r>
      <w:r>
        <w:t xml:space="preserve"> </w:t>
      </w:r>
      <m:oMath>
        <m:r>
          <m:t>κ</m:t>
        </m:r>
      </m:oMath>
      <w:r>
        <w:t xml:space="preserve"> </w:t>
      </w:r>
      <w:r>
        <w:t xml:space="preserve">that bears the trace of the one in whom all things hold together (Colossians 1:17). Those structural resonances are, throughout the series, the discipline’s contribution to the series’ long purpose. Consciousness is a natural place for that resonance to intensify — the divine-image-bearing human being, the Spirit-and-body unity, the prospect of communion across time and space — and the temptation to elevate the framework’s architectural consonance with Christian anthropology into a preaching moment is, precisely here, its strongest.</w:t>
      </w:r>
    </w:p>
    <w:p>
      <w:pPr>
        <w:pStyle w:val="BodyText"/>
      </w:pPr>
      <w:r>
        <w:t xml:space="preserve">The chapter declines the temptation. It declines it not because the resonance is illegitimate, but because it is not the chapter’s job to preach; it is the chapter’s job to state the physics cleanly so that the Creator shows through the creation of the reader’s own examination. The series is premised on the discovery that honest physics reveals Christ. Preaching at the reader would violate that premise. So the chapter does not preach.</w:t>
      </w:r>
    </w:p>
    <w:p>
      <w:pPr>
        <w:pStyle w:val="BodyText"/>
      </w:pPr>
      <w:r>
        <w:t xml:space="preserve">A reader sympathetic to the series’ theological horizon may feel this restraint as an absence. We want to name the feeling and honor it without violating the discipline that has produced it. The consciousness-bearing human person, in classical Christian anthropology, is the image-bearer whose very faculties of attention, love, and intelligence carry the trace of their Maker. A chapter on consciousness is, for such a reader, a chapter about the most Christologically-charged subject the physical sciences can address — and to decline to develop the theological thread at length here may seem to leave the most important thing unsaid. Readers in that position are directed to the theological development planned for Books 1–3 of this series (where the register shifts appropriately) and to the substantial tradition of Christian philosophy of mind whose authors are better qualified than the physics of this volume to speak to those resonances. The thread is not absent from the series; it is carried in the disciplines best equipped to carry it. Here, in the Foundations, we do physics — and we trust that the architecture of what we have derived will speak, on its own terms, to those prepared to hear.</w:t>
      </w:r>
    </w:p>
    <w:p>
      <w:pPr>
        <w:pStyle w:val="BodyText"/>
      </w:pPr>
      <w:r>
        <w:t xml:space="preserve">What the chapter has done instead is leave open, precisely, the set of questions where theological resources become relevant. The hard problem of consciousness (§13.7) is not a physics question; it is a question at the intersection of physics, philosophy of mind, and, for those so inclined, theology. The persistence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across death (Non-implication 8; §13.9 OP-13.8) is not a physics question; it is a theological question that the framework explicitly leaves to theology. The relation between Zone 1 and whatever theology names</w:t>
      </w:r>
      <w:r>
        <w:t xml:space="preserve"> </w:t>
      </w:r>
      <w:r>
        <w:t xml:space="preserve">“</w:t>
      </w:r>
      <w:r>
        <w:t xml:space="preserve">the presence of God</w:t>
      </w:r>
      <w:r>
        <w:t xml:space="preserve">”</w:t>
      </w:r>
      <w:r>
        <w:t xml:space="preserve"> </w:t>
      </w:r>
      <w:r>
        <w:t xml:space="preserve">is not a physics question; it is a theological question whose answer, if it has one, is a theologian’s work. The framework, by declining to answer, has kept those questions open for the readers and disciplines that are qualified to engage them.</w:t>
      </w:r>
    </w:p>
    <w:p>
      <w:pPr>
        <w:pStyle w:val="BodyText"/>
      </w:pPr>
      <w:r>
        <w:t xml:space="preserve">This is what theological humility looks like in a physics chapter. Not the absence of theology, but the refusal to make physics stand in for it. The chapter ends where physics ends and where other disciplines properly begin.</w:t>
      </w:r>
    </w:p>
    <w:p>
      <w:r>
        <w:pict>
          <v:rect style="width:0;height:1.5pt" o:hralign="center" o:hrstd="t" o:hr="t"/>
        </w:pict>
      </w:r>
    </w:p>
    <w:p>
      <w:pPr>
        <w:pStyle w:val="Heading2"/>
      </w:pPr>
      <w:bookmarkStart w:id="56" w:name="open-problems"/>
      <w:r>
        <w:t xml:space="preserve">13.9 Open Problems</w:t>
      </w:r>
      <w:bookmarkEnd w:id="56"/>
    </w:p>
    <w:p>
      <w:pPr>
        <w:pStyle w:val="FirstParagraph"/>
      </w:pPr>
      <w:r>
        <w:t xml:space="preserve">The framework’s consciousness model is internally consistent and empirically testable (§13.5), but it is not complete. This section catalogues the unresolved issues as research invitations. Each is framed with enough specificity to be thesis-buildable and enough scope to reward a career. These eight problems feed directly into Chapter 14’s master open-problems catalogue; a student picking one of these up after Ch. 14 should be able to start a PhD the following semester.</w:t>
      </w:r>
    </w:p>
    <w:p>
      <w:pPr>
        <w:pStyle w:val="BodyText"/>
      </w:pPr>
      <w:r>
        <w:rPr>
          <w:b/>
        </w:rPr>
        <w:t xml:space="preserve">OP-13.1 — Controllability of Ψ_spirit.</w:t>
      </w:r>
      <w:r>
        <w:t xml:space="preserve"> </w:t>
      </w:r>
      <w:r>
        <w:t xml:space="preserve">The question P-154 addresses empirically is whether a conscious agent can voluntarily modulate their Zone 1 component. The question OP-13.1 asks theoretically is: what would the mechanism of such modulation be, if it exists? What dynamical equation governs</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What couples the agent’s brane-side volitional processes (neural correlates of intention) to modulations of</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A theoretical account would produce quantitative predictions for P-154’s effect size, making the empirical test more powerful. Current state: no theoretical account exists. Estimated difficulty: HIGH. Timeline: 5–15 years of theoretical work, perhaps paralleled by the P-154 experimental program.</w:t>
      </w:r>
    </w:p>
    <w:p>
      <w:pPr>
        <w:pStyle w:val="BodyText"/>
      </w:pPr>
      <w:r>
        <w:rPr>
          <w:b/>
        </w:rPr>
        <w:t xml:space="preserve">OP-13.2 — Brane-side neural correlate.</w:t>
      </w:r>
      <w:r>
        <w:t xml:space="preserve"> </w:t>
      </w:r>
      <w:r>
        <w:t xml:space="preserve">The factorization Eq. (13.3.1) requires</w:t>
      </w:r>
      <w:r>
        <w:t xml:space="preserve"> </w:t>
      </w:r>
      <m:oMath>
        <m:sSub>
          <m:e>
            <m:r>
              <m:t>Ψ</m:t>
            </m:r>
          </m:e>
          <m:sub>
            <m:r>
              <m:rPr>
                <m:sty m:val="p"/>
              </m:rPr>
              <m:t>b</m:t>
            </m:r>
            <m:r>
              <m:rPr>
                <m:sty m:val="p"/>
              </m:rPr>
              <m:t>o</m:t>
            </m:r>
            <m:r>
              <m:rPr>
                <m:sty m:val="p"/>
              </m:rPr>
              <m:t>d</m:t>
            </m:r>
            <m:r>
              <m:rPr>
                <m:sty m:val="p"/>
              </m:rPr>
              <m:t>y</m:t>
            </m:r>
          </m:sub>
        </m:sSub>
      </m:oMath>
      <w:r>
        <w:t xml:space="preserve"> </w:t>
      </w:r>
      <w:r>
        <w:t xml:space="preserve">to support sufficient quantum coherence for the Zone 1 coupling. Candidate substrates include microtubule quantum coherence (Orch-OR tradition, Hameroff and Penrose), neuronal quantum criticality, collective electromagnetic-field coherence (Libet-class proposals), magnetic dipole coherence, and as-yet-unidentified biophysical structures. Which is the framework’s candidate? Or is the framework substrate-agnostic in a way that every candidate equally qualifies? Theoretical and experimental work needed. Current state: Orch-OR is the closest-aligned candidate but makes commitments the framework does not share. Estimated difficulty: MEDIUM-HIGH. Timeline: 10–25 years.</w:t>
      </w:r>
    </w:p>
    <w:p>
      <w:pPr>
        <w:pStyle w:val="BodyText"/>
      </w:pPr>
      <w:r>
        <w:rPr>
          <w:b/>
        </w:rPr>
        <w:t xml:space="preserve">OP-13.3 — Decoherence time scaling.</w:t>
      </w:r>
      <w:r>
        <w:t xml:space="preserve"> </w:t>
      </w:r>
      <w:r>
        <w:t xml:space="preserve">Tegmark’s 2000 estimate that brain-temperature decoherence is faster than conscious-activity timescales remains the most serious technical challenge to any quantum-consciousness program. The framework responded in §13.5.2 by proposing (i) specific coherent substructures rather than whole-neural coherence, and (ii) a potential orthogonality of the Zone 1 coupling to the Waters-field environment. Both responses need theoretical development. Is there a rigorous bound on</w:t>
      </w:r>
      <w:r>
        <w:t xml:space="preserve"> </w:t>
      </w:r>
      <m:oMath>
        <m:sSub>
          <m:e>
            <m:r>
              <m:t>τ</m:t>
            </m:r>
          </m:e>
          <m:sub>
            <m:r>
              <m:rPr>
                <m:sty m:val="p"/>
              </m:rPr>
              <m:t>c</m:t>
            </m:r>
            <m:r>
              <m:rPr>
                <m:sty m:val="p"/>
              </m:rPr>
              <m:t>o</m:t>
            </m:r>
            <m:r>
              <m:rPr>
                <m:sty m:val="p"/>
              </m:rPr>
              <m:t>h</m:t>
            </m:r>
          </m:sub>
        </m:sSub>
      </m:oMath>
      <w:r>
        <w:t xml:space="preserve"> </w:t>
      </w:r>
      <w:r>
        <w:t xml:space="preserve">from first principles, derived from the framework’s specific decoherence channels? Is there a mechanism by which Zone 1 coupling escapes the Tegmark bound? Current state: arm-waved. Estimated difficulty: HIGH. Timeline: 5–15 years.</w:t>
      </w:r>
    </w:p>
    <w:p>
      <w:pPr>
        <w:pStyle w:val="BodyText"/>
      </w:pPr>
      <w:r>
        <w:rPr>
          <w:b/>
        </w:rPr>
        <w:t xml:space="preserve">OP-13.4 — Ψ_spirit ontology.</w:t>
      </w:r>
      <w:r>
        <w:t xml:space="preserve"> </w:t>
      </w:r>
      <w:r>
        <w:t xml:space="preserve">Readings A (quantum state on a Hilbert space), B (classical pattern field), and C (placeholder for an unspecified coupling) are not distinguished by the framework in its current form. Different predictions of §13.5 might, upon reflection, distinguish them — but the analysis has not been done. What experiment would separate Reading A from Reading B? Is the framework committed to a specific reading by other parts of its derivation (Vol. 4 Ch. 4’s zone-mediated entanglement, for instance, might be a Reading-A commitment)? Or is the ambiguity genuine? Current state: open. Estimated difficulty: MEDIUM. Timeline: 3–10 years.</w:t>
      </w:r>
    </w:p>
    <w:p>
      <w:pPr>
        <w:pStyle w:val="BodyText"/>
      </w:pPr>
      <w:r>
        <w:rPr>
          <w:b/>
        </w:rPr>
        <w:t xml:space="preserve">OP-13.5 — Relation to other consciousness theories.</w:t>
      </w:r>
      <w:r>
        <w:t xml:space="preserve"> </w:t>
      </w:r>
      <w:r>
        <w:t xml:space="preserve">The framework’s consciousness model must be positioned relative to the major contemporary theories: integrated information theory (Tononi), global workspace theory (Baars, Dehaene), higher-order theories (Rosenthal, Lau), panpsychism (Chalmers, Strawson, Goff), illusionism (Frankish, Dennett), and the Orch-OR model (Hameroff-Penrose). For each: is the framework consistent with it, incompatible with it, or agnostic? What empirical findings would discriminate? A comprehensive comparison paper is a thesis-worthy contribution. Current state: Orch-OR is closest but unequal; the others are not yet engaged. Estimated difficulty: MEDIUM. Timeline: 3–8 years.</w:t>
      </w:r>
    </w:p>
    <w:p>
      <w:pPr>
        <w:pStyle w:val="BodyText"/>
      </w:pPr>
      <w:r>
        <w:rPr>
          <w:b/>
        </w:rPr>
        <w:t xml:space="preserve">OP-13.6 — The phenomenology bridge.</w:t>
      </w:r>
      <w:r>
        <w:t xml:space="preserve"> </w:t>
      </w:r>
      <w:r>
        <w:t xml:space="preserve">Is there, even in principle, a derivation-path from the factorized wavefunction (§13.3) to any property of subjective experience — even the weakest, such as reportability? The framework’s current position (§13.7) is that the derivation does not exist and may not be attainable by physics alone. But</w:t>
      </w:r>
      <w:r>
        <w:t xml:space="preserve"> </w:t>
      </w:r>
      <w:r>
        <w:t xml:space="preserve">“</w:t>
      </w:r>
      <w:r>
        <w:t xml:space="preserve">may not</w:t>
      </w:r>
      <w:r>
        <w:t xml:space="preserve">”</w:t>
      </w:r>
      <w:r>
        <w:t xml:space="preserve"> </w:t>
      </w:r>
      <w:r>
        <w:t xml:space="preserve">is not a proof. Rigorous no-go results (if such exist) would strengthen the framework’s phenomenology-gap position; existence proofs for specific bridges (say, between Ψ_spirit correlations and global-workspace broadcasting) would weaken it. Current state: ambient speculation across philosophy of mind; no framework-specific work. Estimated difficulty: VERY HIGH. Timeline: indefinite; perhaps the hardest problem in the chapter.</w:t>
      </w:r>
    </w:p>
    <w:p>
      <w:pPr>
        <w:pStyle w:val="BodyText"/>
      </w:pPr>
      <w:r>
        <w:rPr>
          <w:b/>
        </w:rPr>
        <w:t xml:space="preserve">OP-13.7 — Artificial systems.</w:t>
      </w:r>
      <w:r>
        <w:t xml:space="preserve"> </w:t>
      </w:r>
      <w:r>
        <w:t xml:space="preserve">Could a non-biological computational substrate — a quantum computer of sufficient scale, a neuromorphic system coupled to quantum coherence hardware, a hybrid bio-artificial system — instantiate a</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component? P-157 makes this empirically testable for near-term quantum computers; what would a thoroughly-developed theoretical account predict? The framework’s silence in Non-implication 2 is the starting point, not the ending point. Current state: silent. Estimated difficulty: MEDIUM (theoretical) or HIGH (experimental, waiting on P-157 class measurements). Timeline: 10–30 years as quantum computer scale increases.</w:t>
      </w:r>
    </w:p>
    <w:p>
      <w:pPr>
        <w:pStyle w:val="BodyText"/>
      </w:pPr>
      <w:r>
        <w:rPr>
          <w:b/>
        </w:rPr>
        <w:t xml:space="preserve">OP-13.8 — Death, sleep, and discontinuities.</w:t>
      </w:r>
      <w:r>
        <w:t xml:space="preserve"> </w:t>
      </w:r>
      <w:r>
        <w:t xml:space="preserve">What does the framework say about temporary dissociations of the</w:t>
      </w:r>
      <w:r>
        <w:t xml:space="preserve"> </w:t>
      </w:r>
      <m:oMath>
        <m:sSub>
          <m:e>
            <m:r>
              <m:t>Ψ</m:t>
            </m:r>
          </m:e>
          <m:sub>
            <m:r>
              <m:rPr>
                <m:sty m:val="p"/>
              </m:rPr>
              <m:t>b</m:t>
            </m:r>
            <m:r>
              <m:rPr>
                <m:sty m:val="p"/>
              </m:rPr>
              <m:t>o</m:t>
            </m:r>
            <m:r>
              <m:rPr>
                <m:sty m:val="p"/>
              </m:rPr>
              <m:t>d</m:t>
            </m:r>
            <m:r>
              <m:rPr>
                <m:sty m:val="p"/>
              </m:rPr>
              <m:t>y</m:t>
            </m:r>
          </m:sub>
        </m:sSub>
      </m:oMath>
      <w:r>
        <w:t xml:space="preserve">-</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coupling (sleep, general anaesthesia, cardiac arrest and resuscitation) and about permanent ones (death)? The framework’s §13.4 Non-implication 8 is that the math is silent on persistence beyond the brane state, because persistence is a theological question. But that silence is a boundary, not a full account. Is there a physics-internal account of what happens to</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when</w:t>
      </w:r>
      <w:r>
        <w:t xml:space="preserve"> </w:t>
      </w:r>
      <m:oMath>
        <m:sSub>
          <m:e>
            <m:r>
              <m:t>Ψ</m:t>
            </m:r>
          </m:e>
          <m:sub>
            <m:r>
              <m:rPr>
                <m:sty m:val="p"/>
              </m:rPr>
              <m:t>b</m:t>
            </m:r>
            <m:r>
              <m:rPr>
                <m:sty m:val="p"/>
              </m:rPr>
              <m:t>o</m:t>
            </m:r>
            <m:r>
              <m:rPr>
                <m:sty m:val="p"/>
              </m:rPr>
              <m:t>d</m:t>
            </m:r>
            <m:r>
              <m:rPr>
                <m:sty m:val="p"/>
              </m:rPr>
              <m:t>y</m:t>
            </m:r>
          </m:sub>
        </m:sSub>
      </m:oMath>
      <w:r>
        <w:t xml:space="preserve"> </w:t>
      </w:r>
      <w:r>
        <w:t xml:space="preserve">dissolves — perhaps, for example, a re-integration with the ambient Zone 1 field or a decoupling to a non-interacting mode — that would not cross the theological boundary but would fill out the physics? Current state: physics leaves to theology; but a physics-internal account of</w:t>
      </w:r>
      <w:r>
        <w:t xml:space="preserve"> </w:t>
      </w:r>
      <w:r>
        <w:rPr>
          <w:i/>
        </w:rPr>
        <w:t xml:space="preserve">the boundary itself</w:t>
      </w:r>
      <w:r>
        <w:t xml:space="preserve"> </w:t>
      </w:r>
      <w:r>
        <w:t xml:space="preserve">is open. Estimated difficulty: HIGH. Timeline: 10–20 years; this is the kind of problem that matures slowly.</w:t>
      </w:r>
    </w:p>
    <w:p>
      <w:pPr>
        <w:pStyle w:val="BodyText"/>
      </w:pPr>
      <w:r>
        <w:t xml:space="preserve">Eight open problems. Each is thesis-buildable in the sense that a student could pick one of them up, do the literature review in a semester, and produce novel work in two to three years. Several are interdisciplinary (OP-13.5 with philosophy of mind, OP-13.8 with theology) and a mature program would benefit from collaborators across disciplines. All of them feed into Chapter 14’s master catalogue.</w:t>
      </w:r>
    </w:p>
    <w:p>
      <w:r>
        <w:pict>
          <v:rect style="width:0;height:1.5pt" o:hralign="center" o:hrstd="t" o:hr="t"/>
        </w:pict>
      </w:r>
    </w:p>
    <w:p>
      <w:pPr>
        <w:pStyle w:val="Heading2"/>
      </w:pPr>
      <w:bookmarkStart w:id="57" w:name="X5ed3ff6d93ed8db38fe3bce77026e41495c74ad"/>
      <w:r>
        <w:t xml:space="preserve">13.10 Predictions, Falsification Criteria, and Chapter Summary</w:t>
      </w:r>
      <w:bookmarkEnd w:id="57"/>
    </w:p>
    <w:p>
      <w:pPr>
        <w:pStyle w:val="Heading3"/>
      </w:pPr>
      <w:bookmarkStart w:id="58" w:name="master-prediction-table"/>
      <w:r>
        <w:t xml:space="preserve">13.10.1 Master Prediction Table</w:t>
      </w:r>
      <w:bookmarkEnd w:id="58"/>
    </w:p>
    <w:p>
      <w:pPr>
        <w:pStyle w:val="FirstParagraph"/>
      </w:pPr>
      <w:r>
        <w:t xml:space="preserve">The chapter contributes predictions P-154 through P-163 — ten predictions, two of which (P-162, P-163) are conditional on the outcomes of the other eight. The table summarizes.</w:t>
      </w:r>
    </w:p>
    <w:tbl>
      <w:tblPr>
        <w:tblStyle w:val="Table"/>
        <w:tblW w:type="pct" w:w="5000.0"/>
        <w:tblLook w:firstRow="1"/>
      </w:tblPr>
      <w:tblGrid>
        <w:gridCol w:w="536"/>
        <w:gridCol w:w="939"/>
        <w:gridCol w:w="1208"/>
        <w:gridCol w:w="3221"/>
        <w:gridCol w:w="2013"/>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Falsification Threshold</w:t>
            </w:r>
          </w:p>
        </w:tc>
        <w:tc>
          <w:tcPr>
            <w:tcBorders>
              <w:bottom w:val="single"/>
            </w:tcBorders>
            <w:vAlign w:val="bottom"/>
          </w:tcPr>
          <w:p>
            <w:pPr>
              <w:pStyle w:val="Compact"/>
              <w:jc w:val="left"/>
            </w:pPr>
            <w:r>
              <w:t xml:space="preserve">Classification</w:t>
            </w:r>
          </w:p>
        </w:tc>
      </w:tr>
      <w:tr>
        <w:tc>
          <w:p>
            <w:pPr>
              <w:pStyle w:val="Compact"/>
              <w:jc w:val="left"/>
            </w:pPr>
            <w:r>
              <w:t xml:space="preserve">P-154</w:t>
            </w:r>
          </w:p>
        </w:tc>
        <w:tc>
          <w:p>
            <w:pPr>
              <w:pStyle w:val="Compact"/>
              <w:jc w:val="left"/>
            </w:pPr>
            <w:r>
              <w:t xml:space="preserve">Volitional bit-encoding threshold</w:t>
            </w:r>
          </w:p>
        </w:tc>
        <w:tc>
          <w:p>
            <w:pPr>
              <w:pStyle w:val="Compact"/>
              <w:jc w:val="left"/>
            </w:pPr>
            <w:r>
              <w:t xml:space="preserve">§13.5.1</w:t>
            </w:r>
          </w:p>
        </w:tc>
        <w:tc>
          <w:p>
            <w:pPr>
              <w:pStyle w:val="Compact"/>
              <w:jc w:val="left"/>
            </w:pPr>
            <w:r>
              <w:t xml:space="preserve">Pre-registered null at</w:t>
            </w:r>
            <w:r>
              <w:t xml:space="preserve"> </w:t>
            </w:r>
            <m:oMath>
              <m:r>
                <m:t>d</m:t>
              </m:r>
              <m:r>
                <m:t>=</m:t>
              </m:r>
              <m:sSup>
                <m:e>
                  <m:r>
                    <m:t>10</m:t>
                  </m:r>
                </m:e>
                <m:sup>
                  <m:r>
                    <m:t>−</m:t>
                  </m:r>
                  <m:r>
                    <m:t>6</m:t>
                  </m:r>
                </m:sup>
              </m:sSup>
            </m:oMath>
          </w:p>
        </w:tc>
        <w:tc>
          <w:p>
            <w:pPr>
              <w:pStyle w:val="Compact"/>
              <w:jc w:val="left"/>
            </w:pPr>
            <w:r>
              <w:t xml:space="preserve">NOVEL</w:t>
            </w:r>
          </w:p>
        </w:tc>
      </w:tr>
      <w:tr>
        <w:tc>
          <w:p>
            <w:pPr>
              <w:pStyle w:val="Compact"/>
              <w:jc w:val="left"/>
            </w:pPr>
            <w:r>
              <w:t xml:space="preserve">P-155</w:t>
            </w:r>
          </w:p>
        </w:tc>
        <w:tc>
          <w:p>
            <w:pPr>
              <w:pStyle w:val="Compact"/>
              <w:jc w:val="left"/>
            </w:pPr>
            <w:r>
              <w:t xml:space="preserve">Neural quantum-coherence at framework decoherence time</w:t>
            </w:r>
          </w:p>
        </w:tc>
        <w:tc>
          <w:p>
            <w:pPr>
              <w:pStyle w:val="Compact"/>
              <w:jc w:val="left"/>
            </w:pPr>
            <w:r>
              <w:t xml:space="preserve">§13.5.2</w:t>
            </w:r>
          </w:p>
        </w:tc>
        <w:tc>
          <w:p>
            <w:pPr>
              <w:pStyle w:val="Compact"/>
              <w:jc w:val="left"/>
            </w:pPr>
            <w:r>
              <w:t xml:space="preserve">Rule out all candidate substrates at</w:t>
            </w:r>
            <w:r>
              <w:t xml:space="preserve"> </w:t>
            </w:r>
            <m:oMath>
              <m:sSub>
                <m:e>
                  <m:r>
                    <m:t>τ</m:t>
                  </m:r>
                </m:e>
                <m:sub>
                  <m:r>
                    <m:rPr>
                      <m:sty m:val="p"/>
                    </m:rPr>
                    <m:t>c</m:t>
                  </m:r>
                  <m:r>
                    <m:rPr>
                      <m:sty m:val="p"/>
                    </m:rPr>
                    <m:t>o</m:t>
                  </m:r>
                  <m:r>
                    <m:rPr>
                      <m:sty m:val="p"/>
                    </m:rPr>
                    <m:t>h</m:t>
                  </m:r>
                </m:sub>
              </m:sSub>
              <m:r>
                <m:t>&gt;</m:t>
              </m:r>
              <m:sSup>
                <m:e>
                  <m:r>
                    <m:t>10</m:t>
                  </m:r>
                </m:e>
                <m:sup>
                  <m:r>
                    <m:t>−</m:t>
                  </m:r>
                  <m:r>
                    <m:t>9</m:t>
                  </m:r>
                </m:sup>
              </m:sSup>
            </m:oMath>
            <w:r>
              <w:t xml:space="preserve"> </w:t>
            </w:r>
            <w:r>
              <w:t xml:space="preserve">s</w:t>
            </w:r>
          </w:p>
        </w:tc>
        <w:tc>
          <w:p>
            <w:pPr>
              <w:pStyle w:val="Compact"/>
              <w:jc w:val="left"/>
            </w:pPr>
            <w:r>
              <w:t xml:space="preserve">NOVEL</w:t>
            </w:r>
          </w:p>
        </w:tc>
      </w:tr>
      <w:tr>
        <w:tc>
          <w:p>
            <w:pPr>
              <w:pStyle w:val="Compact"/>
              <w:jc w:val="left"/>
            </w:pPr>
            <w:r>
              <w:t xml:space="preserve">P-156</w:t>
            </w:r>
          </w:p>
        </w:tc>
        <w:tc>
          <w:p>
            <w:pPr>
              <w:pStyle w:val="Compact"/>
              <w:jc w:val="left"/>
            </w:pPr>
            <w:r>
              <w:t xml:space="preserve">Life-detection signal: biology, not chemistry alone</w:t>
            </w:r>
          </w:p>
        </w:tc>
        <w:tc>
          <w:p>
            <w:pPr>
              <w:pStyle w:val="Compact"/>
              <w:jc w:val="left"/>
            </w:pPr>
            <w:r>
              <w:t xml:space="preserve">§13.5.3</w:t>
            </w:r>
          </w:p>
        </w:tc>
        <w:tc>
          <w:p>
            <w:pPr>
              <w:pStyle w:val="Compact"/>
              <w:jc w:val="left"/>
            </w:pPr>
            <w:r>
              <w:t xml:space="preserve">Signal correlates with organic complexity alone</w:t>
            </w:r>
          </w:p>
        </w:tc>
        <w:tc>
          <w:p>
            <w:pPr>
              <w:pStyle w:val="Compact"/>
              <w:jc w:val="left"/>
            </w:pPr>
            <w:r>
              <w:t xml:space="preserve">NOVEL</w:t>
            </w:r>
          </w:p>
        </w:tc>
      </w:tr>
      <w:tr>
        <w:tc>
          <w:p>
            <w:pPr>
              <w:pStyle w:val="Compact"/>
              <w:jc w:val="left"/>
            </w:pPr>
            <w:r>
              <w:t xml:space="preserve">P-157</w:t>
            </w:r>
          </w:p>
        </w:tc>
        <w:tc>
          <w:p>
            <w:pPr>
              <w:pStyle w:val="Compact"/>
              <w:jc w:val="left"/>
            </w:pPr>
            <w:r>
              <w:t xml:space="preserve">Absence of zone-coupling in non-biological quantum systems</w:t>
            </w:r>
          </w:p>
        </w:tc>
        <w:tc>
          <w:p>
            <w:pPr>
              <w:pStyle w:val="Compact"/>
              <w:jc w:val="left"/>
            </w:pPr>
            <w:r>
              <w:t xml:space="preserve">§13.5.4</w:t>
            </w:r>
          </w:p>
        </w:tc>
        <w:tc>
          <w:p>
            <w:pPr>
              <w:pStyle w:val="Compact"/>
              <w:jc w:val="left"/>
            </w:pPr>
            <w:r>
              <w:t xml:space="preserve">Zone-coupling signature from quantum computer</w:t>
            </w:r>
          </w:p>
        </w:tc>
        <w:tc>
          <w:p>
            <w:pPr>
              <w:pStyle w:val="Compact"/>
              <w:jc w:val="left"/>
            </w:pPr>
            <w:r>
              <w:t xml:space="preserve">NOVEL (null-type)</w:t>
            </w:r>
          </w:p>
        </w:tc>
      </w:tr>
      <w:tr>
        <w:tc>
          <w:p>
            <w:pPr>
              <w:pStyle w:val="Compact"/>
              <w:jc w:val="left"/>
            </w:pPr>
            <w:r>
              <w:t xml:space="preserve">P-158</w:t>
            </w:r>
          </w:p>
        </w:tc>
        <w:tc>
          <w:p>
            <w:pPr>
              <w:pStyle w:val="Compact"/>
              <w:jc w:val="left"/>
            </w:pPr>
            <w:r>
              <w:t xml:space="preserve">Decoherence-time bound for consciousness</w:t>
            </w:r>
          </w:p>
        </w:tc>
        <w:tc>
          <w:p>
            <w:pPr>
              <w:pStyle w:val="Compact"/>
              <w:jc w:val="left"/>
            </w:pPr>
            <w:r>
              <w:t xml:space="preserve">§13.5.5</w:t>
            </w:r>
          </w:p>
        </w:tc>
        <w:tc>
          <w:p>
            <w:pPr>
              <w:pStyle w:val="Compact"/>
              <w:jc w:val="left"/>
            </w:pPr>
            <w:r>
              <w:t xml:space="preserve">Conscious substrate at</w:t>
            </w:r>
            <w:r>
              <w:t xml:space="preserve"> </w:t>
            </w:r>
            <m:oMath>
              <m:sSub>
                <m:e>
                  <m:r>
                    <m:t>τ</m:t>
                  </m:r>
                </m:e>
                <m:sub>
                  <m:r>
                    <m:rPr>
                      <m:sty m:val="p"/>
                    </m:rPr>
                    <m:t>c</m:t>
                  </m:r>
                  <m:r>
                    <m:rPr>
                      <m:sty m:val="p"/>
                    </m:rPr>
                    <m:t>o</m:t>
                  </m:r>
                  <m:r>
                    <m:rPr>
                      <m:sty m:val="p"/>
                    </m:rPr>
                    <m:t>h</m:t>
                  </m:r>
                </m:sub>
              </m:sSub>
              <m:r>
                <m:t>&lt;</m:t>
              </m:r>
              <m:sSup>
                <m:e>
                  <m:r>
                    <m:t>10</m:t>
                  </m:r>
                </m:e>
                <m:sup>
                  <m:r>
                    <m:t>−</m:t>
                  </m:r>
                  <m:r>
                    <m:t>9</m:t>
                  </m:r>
                </m:sup>
              </m:sSup>
            </m:oMath>
            <w:r>
              <w:t xml:space="preserve"> </w:t>
            </w:r>
            <w:r>
              <w:t xml:space="preserve">s</w:t>
            </w:r>
          </w:p>
        </w:tc>
        <w:tc>
          <w:p>
            <w:pPr>
              <w:pStyle w:val="Compact"/>
              <w:jc w:val="left"/>
            </w:pPr>
            <w:r>
              <w:t xml:space="preserve">NOVEL</w:t>
            </w:r>
          </w:p>
        </w:tc>
      </w:tr>
      <w:tr>
        <w:tc>
          <w:p>
            <w:pPr>
              <w:pStyle w:val="Compact"/>
              <w:jc w:val="left"/>
            </w:pPr>
            <w:r>
              <w:t xml:space="preserve">P-159</w:t>
            </w:r>
          </w:p>
        </w:tc>
        <w:tc>
          <w:p>
            <w:pPr>
              <w:pStyle w:val="Compact"/>
              <w:jc w:val="left"/>
            </w:pPr>
            <w:r>
              <w:t xml:space="preserve">No brane-side FTL from</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modulation</w:t>
            </w:r>
          </w:p>
        </w:tc>
        <w:tc>
          <w:p>
            <w:pPr>
              <w:pStyle w:val="Compact"/>
              <w:jc w:val="left"/>
            </w:pPr>
            <w:r>
              <w:t xml:space="preserve">§13.5.6</w:t>
            </w:r>
          </w:p>
        </w:tc>
        <w:tc>
          <w:p>
            <w:pPr>
              <w:pStyle w:val="Compact"/>
              <w:jc w:val="left"/>
            </w:pPr>
            <w:r>
              <w:t xml:space="preserve">Detectable brane-side FTL</w:t>
            </w:r>
          </w:p>
        </w:tc>
        <w:tc>
          <w:p>
            <w:pPr>
              <w:pStyle w:val="Compact"/>
              <w:jc w:val="left"/>
            </w:pPr>
            <w:r>
              <w:t xml:space="preserve">NULL</w:t>
            </w:r>
          </w:p>
        </w:tc>
      </w:tr>
      <w:tr>
        <w:tc>
          <w:p>
            <w:pPr>
              <w:pStyle w:val="Compact"/>
              <w:jc w:val="left"/>
            </w:pPr>
            <w:r>
              <w:t xml:space="preserve">P-160</w:t>
            </w:r>
          </w:p>
        </w:tc>
        <w:tc>
          <w:p>
            <w:pPr>
              <w:pStyle w:val="Compact"/>
              <w:jc w:val="left"/>
            </w:pPr>
            <w:r>
              <w:t xml:space="preserve">Cross-prediction consistency</w:t>
            </w:r>
          </w:p>
        </w:tc>
        <w:tc>
          <w:p>
            <w:pPr>
              <w:pStyle w:val="Compact"/>
              <w:jc w:val="left"/>
            </w:pPr>
            <w:r>
              <w:t xml:space="preserve">§13.5.7</w:t>
            </w:r>
          </w:p>
        </w:tc>
        <w:tc>
          <w:p>
            <w:pPr>
              <w:pStyle w:val="Compact"/>
              <w:jc w:val="left"/>
            </w:pPr>
            <w:r>
              <w:t xml:space="preserve">Uncorrelated results across P-154–P-158</w:t>
            </w:r>
          </w:p>
        </w:tc>
        <w:tc>
          <w:p>
            <w:pPr>
              <w:pStyle w:val="Compact"/>
              <w:jc w:val="left"/>
            </w:pPr>
            <w:r>
              <w:t xml:space="preserve">NOVEL (meta)</w:t>
            </w:r>
          </w:p>
        </w:tc>
      </w:tr>
      <w:tr>
        <w:tc>
          <w:p>
            <w:pPr>
              <w:pStyle w:val="Compact"/>
              <w:jc w:val="left"/>
            </w:pPr>
            <w:r>
              <w:t xml:space="preserve">P-161</w:t>
            </w:r>
          </w:p>
        </w:tc>
        <w:tc>
          <w:p>
            <w:pPr>
              <w:pStyle w:val="Compact"/>
              <w:jc w:val="left"/>
            </w:pPr>
            <w:r>
              <w:t xml:space="preserve">Substrate-agnosticism</w:t>
            </w:r>
          </w:p>
        </w:tc>
        <w:tc>
          <w:p>
            <w:pPr>
              <w:pStyle w:val="Compact"/>
              <w:jc w:val="left"/>
            </w:pPr>
            <w:r>
              <w:t xml:space="preserve">§13.5.8</w:t>
            </w:r>
          </w:p>
        </w:tc>
        <w:tc>
          <w:p>
            <w:pPr>
              <w:pStyle w:val="Compact"/>
              <w:jc w:val="left"/>
            </w:pPr>
            <w:r>
              <w:t xml:space="preserve">Specific anatomy required for consciousness</w:t>
            </w:r>
          </w:p>
        </w:tc>
        <w:tc>
          <w:p>
            <w:pPr>
              <w:pStyle w:val="Compact"/>
              <w:jc w:val="left"/>
            </w:pPr>
            <w:r>
              <w:t xml:space="preserve">NOVEL</w:t>
            </w:r>
          </w:p>
        </w:tc>
      </w:tr>
      <w:tr>
        <w:tc>
          <w:p>
            <w:pPr>
              <w:pStyle w:val="Compact"/>
              <w:jc w:val="left"/>
            </w:pPr>
            <w:r>
              <w:t xml:space="preserve">P-162</w:t>
            </w:r>
          </w:p>
        </w:tc>
        <w:tc>
          <w:p>
            <w:pPr>
              <w:pStyle w:val="Compact"/>
              <w:jc w:val="left"/>
            </w:pPr>
            <w:r>
              <w:t xml:space="preserve">Conditional: Ch. 9 FTL consciousness mechanism</w:t>
            </w:r>
          </w:p>
        </w:tc>
        <w:tc>
          <w:p>
            <w:pPr>
              <w:pStyle w:val="Compact"/>
              <w:jc w:val="left"/>
            </w:pPr>
            <w:r>
              <w:t xml:space="preserve">§13.5.9</w:t>
            </w:r>
          </w:p>
        </w:tc>
        <w:tc>
          <w:p>
            <w:pPr>
              <w:pStyle w:val="Compact"/>
              <w:jc w:val="left"/>
            </w:pPr>
            <w:r>
              <w:t xml:space="preserve">(Conditional on P-154)</w:t>
            </w:r>
          </w:p>
        </w:tc>
        <w:tc>
          <w:p>
            <w:pPr>
              <w:pStyle w:val="Compact"/>
              <w:jc w:val="left"/>
            </w:pPr>
            <w:r>
              <w:t xml:space="preserve">CONDITIONAL</w:t>
            </w:r>
          </w:p>
        </w:tc>
      </w:tr>
      <w:tr>
        <w:tc>
          <w:p>
            <w:pPr>
              <w:pStyle w:val="Compact"/>
              <w:jc w:val="left"/>
            </w:pPr>
            <w:r>
              <w:t xml:space="preserve">P-163</w:t>
            </w:r>
          </w:p>
        </w:tc>
        <w:tc>
          <w:p>
            <w:pPr>
              <w:pStyle w:val="Compact"/>
              <w:jc w:val="left"/>
            </w:pPr>
            <w:r>
              <w:t xml:space="preserve">Conditional: Ch. 11 consciousness channel</w:t>
            </w:r>
          </w:p>
        </w:tc>
        <w:tc>
          <w:p>
            <w:pPr>
              <w:pStyle w:val="Compact"/>
              <w:jc w:val="left"/>
            </w:pPr>
            <w:r>
              <w:t xml:space="preserve">§13.5.9</w:t>
            </w:r>
          </w:p>
        </w:tc>
        <w:tc>
          <w:p>
            <w:pPr>
              <w:pStyle w:val="Compact"/>
              <w:jc w:val="left"/>
            </w:pPr>
            <w:r>
              <w:t xml:space="preserve">(Conditional on P-154–P-158)</w:t>
            </w:r>
          </w:p>
        </w:tc>
        <w:tc>
          <w:p>
            <w:pPr>
              <w:pStyle w:val="Compact"/>
              <w:jc w:val="left"/>
            </w:pPr>
            <w:r>
              <w:t xml:space="preserve">CONDITIONAL</w:t>
            </w:r>
          </w:p>
        </w:tc>
      </w:tr>
    </w:tbl>
    <w:p>
      <w:pPr>
        <w:pStyle w:val="BodyText"/>
      </w:pPr>
      <w:r>
        <w:t xml:space="preserve">Figure 6.13.5 (§13.5.10) is the rendered version of this table for appendix purposes.</w:t>
      </w:r>
    </w:p>
    <w:p>
      <w:pPr>
        <w:pStyle w:val="Heading3"/>
      </w:pPr>
      <w:bookmarkStart w:id="59" w:name="problem-set"/>
      <w:r>
        <w:t xml:space="preserve">13.10.2 Problem Set</w:t>
      </w:r>
      <w:bookmarkEnd w:id="59"/>
    </w:p>
    <w:p>
      <w:pPr>
        <w:pStyle w:val="FirstParagraph"/>
      </w:pPr>
      <w:r>
        <w:rPr>
          <w:b/>
        </w:rPr>
        <w:t xml:space="preserve">Computational Problems</w:t>
      </w:r>
    </w:p>
    <w:p>
      <w:pPr>
        <w:pStyle w:val="BodyText"/>
      </w:pPr>
      <w:r>
        <w:rPr>
          <w:b/>
        </w:rPr>
        <w:t xml:space="preserve">C13.1</w:t>
      </w:r>
      <w:r>
        <w:t xml:space="preserve"> </w:t>
      </w:r>
      <w:r>
        <w:t xml:space="preserve">Show that if the Zone 1 Hamiltonian</w:t>
      </w:r>
      <w:r>
        <w:t xml:space="preserve"> </w:t>
      </w:r>
      <m:oMath>
        <m:sSub>
          <m:e>
            <m:r>
              <m:t>H</m:t>
            </m:r>
          </m:e>
          <m:sub>
            <m:r>
              <m:t>Z</m:t>
            </m:r>
            <m:r>
              <m:t>1</m:t>
            </m:r>
          </m:sub>
        </m:sSub>
      </m:oMath>
      <w:r>
        <w:t xml:space="preserve"> </w:t>
      </w:r>
      <w:r>
        <w:t xml:space="preserve">commutes with the brane Hamiltonian</w:t>
      </w:r>
      <w:r>
        <w:t xml:space="preserve"> </w:t>
      </w:r>
      <m:oMath>
        <m:sSub>
          <m:e>
            <m:r>
              <m:t>H</m:t>
            </m:r>
          </m:e>
          <m:sub>
            <m:r>
              <m:rPr>
                <m:sty m:val="p"/>
              </m:rPr>
              <m:t>b</m:t>
            </m:r>
            <m:r>
              <m:rPr>
                <m:sty m:val="p"/>
              </m:rPr>
              <m:t>o</m:t>
            </m:r>
            <m:r>
              <m:rPr>
                <m:sty m:val="p"/>
              </m:rPr>
              <m:t>d</m:t>
            </m:r>
            <m:r>
              <m:rPr>
                <m:sty m:val="p"/>
              </m:rPr>
              <m:t>y</m:t>
            </m:r>
          </m:sub>
        </m:sSub>
      </m:oMath>
      <w:r>
        <w:t xml:space="preserve">, the factorization</w:t>
      </w:r>
      <w:r>
        <w:t xml:space="preserve"> </w:t>
      </w:r>
      <m:oMath>
        <m:sSub>
          <m:e>
            <m:r>
              <m:t>Ψ</m:t>
            </m:r>
          </m:e>
          <m:sub>
            <m:r>
              <m:rPr>
                <m:sty m:val="p"/>
              </m:rPr>
              <m:t>c</m:t>
            </m:r>
            <m:r>
              <m:rPr>
                <m:sty m:val="p"/>
              </m:rPr>
              <m:t>o</m:t>
            </m:r>
            <m:r>
              <m:rPr>
                <m:sty m:val="p"/>
              </m:rPr>
              <m:t>n</m:t>
            </m:r>
            <m:r>
              <m:rPr>
                <m:sty m:val="p"/>
              </m:rPr>
              <m:t>s</m:t>
            </m:r>
            <m:r>
              <m:rPr>
                <m:sty m:val="p"/>
              </m:rPr>
              <m:t>c</m:t>
            </m:r>
            <m:r>
              <m:rPr>
                <m:sty m:val="p"/>
              </m:rPr>
              <m:t>i</m:t>
            </m:r>
            <m:r>
              <m:rPr>
                <m:sty m:val="p"/>
              </m:rPr>
              <m:t>o</m:t>
            </m:r>
            <m:r>
              <m:rPr>
                <m:sty m:val="p"/>
              </m:rPr>
              <m:t>u</m:t>
            </m:r>
            <m:r>
              <m:rPr>
                <m:sty m:val="p"/>
              </m:rPr>
              <m:t>s</m:t>
            </m:r>
            <m:r>
              <m:rPr>
                <m:sty m:val="p"/>
              </m:rPr>
              <m:t>n</m:t>
            </m:r>
            <m:r>
              <m:rPr>
                <m:sty m:val="p"/>
              </m:rPr>
              <m:t>e</m:t>
            </m:r>
            <m:r>
              <m:rPr>
                <m:sty m:val="p"/>
              </m:rPr>
              <m:t>s</m:t>
            </m:r>
            <m:r>
              <m:rPr>
                <m:sty m:val="p"/>
              </m:rPr>
              <m:t>s</m:t>
            </m:r>
          </m:sub>
        </m:sSub>
        <m:r>
          <m:t>=</m:t>
        </m:r>
        <m:sSub>
          <m:e>
            <m:r>
              <m:t>Ψ</m:t>
            </m:r>
          </m:e>
          <m:sub>
            <m:r>
              <m:rPr>
                <m:sty m:val="p"/>
              </m:rPr>
              <m:t>b</m:t>
            </m:r>
            <m:r>
              <m:rPr>
                <m:sty m:val="p"/>
              </m:rPr>
              <m:t>o</m:t>
            </m:r>
            <m:r>
              <m:rPr>
                <m:sty m:val="p"/>
              </m:rPr>
              <m:t>d</m:t>
            </m:r>
            <m:r>
              <m:rPr>
                <m:sty m:val="p"/>
              </m:rPr>
              <m:t>y</m:t>
            </m:r>
          </m:sub>
        </m:sSub>
        <m:r>
          <m:t>⊗</m:t>
        </m:r>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is preserved under time evolution, so the brane sector evolves by an ordinary Schrödinger equation. What happens if</w:t>
      </w:r>
      <w:r>
        <w:t xml:space="preserve"> </w:t>
      </w:r>
      <m:oMath>
        <m:r>
          <m:t>[</m:t>
        </m:r>
        <m:sSub>
          <m:e>
            <m:r>
              <m:t>H</m:t>
            </m:r>
          </m:e>
          <m:sub>
            <m:r>
              <m:t>Z</m:t>
            </m:r>
            <m:r>
              <m:t>1</m:t>
            </m:r>
          </m:sub>
        </m:sSub>
        <m:r>
          <m:t>,</m:t>
        </m:r>
        <m:sSub>
          <m:e>
            <m:r>
              <m:t>H</m:t>
            </m:r>
          </m:e>
          <m:sub>
            <m:r>
              <m:rPr>
                <m:sty m:val="p"/>
              </m:rPr>
              <m:t>b</m:t>
            </m:r>
            <m:r>
              <m:rPr>
                <m:sty m:val="p"/>
              </m:rPr>
              <m:t>o</m:t>
            </m:r>
            <m:r>
              <m:rPr>
                <m:sty m:val="p"/>
              </m:rPr>
              <m:t>d</m:t>
            </m:r>
            <m:r>
              <m:rPr>
                <m:sty m:val="p"/>
              </m:rPr>
              <m:t>y</m:t>
            </m:r>
          </m:sub>
        </m:sSub>
        <m:r>
          <m:t>]</m:t>
        </m:r>
        <m:r>
          <m:t>≠</m:t>
        </m:r>
        <m:r>
          <m:t>0</m:t>
        </m:r>
      </m:oMath>
      <w:r>
        <w:t xml:space="preserve">? Interpret the commutator as a</w:t>
      </w:r>
      <w:r>
        <w:t xml:space="preserve"> </w:t>
      </w:r>
      <w:r>
        <w:t xml:space="preserve">“</w:t>
      </w:r>
      <w:r>
        <w:t xml:space="preserve">consciousness-coupling</w:t>
      </w:r>
      <w:r>
        <w:t xml:space="preserve">”</w:t>
      </w:r>
      <w:r>
        <w:t xml:space="preserve"> </w:t>
      </w:r>
      <w:r>
        <w:t xml:space="preserve">term.</w:t>
      </w:r>
    </w:p>
    <w:p>
      <w:pPr>
        <w:pStyle w:val="BodyText"/>
      </w:pPr>
      <w:r>
        <w:rPr>
          <w:b/>
        </w:rPr>
        <w:t xml:space="preserve">C13.2</w:t>
      </w:r>
      <w:r>
        <w:t xml:space="preserve"> </w:t>
      </w:r>
      <w:r>
        <w:t xml:space="preserve">For a macroscopic apparatus at</w:t>
      </w:r>
      <w:r>
        <w:t xml:space="preserve"> </w:t>
      </w:r>
      <m:oMath>
        <m:r>
          <m:t>T</m:t>
        </m:r>
        <m:r>
          <m:t>=</m:t>
        </m:r>
        <m:r>
          <m:t>300</m:t>
        </m:r>
      </m:oMath>
      <w:r>
        <w:t xml:space="preserve"> </w:t>
      </w:r>
      <w:r>
        <w:t xml:space="preserve">K coupled to the Waters environment, compute the decoherence time from the framework’s decoherence rate formula (Vol. 4 Eq. 4.8.5). Confirm that it is of order</w:t>
      </w:r>
      <w:r>
        <w:t xml:space="preserve"> </w:t>
      </w:r>
      <m:oMath>
        <m:sSup>
          <m:e>
            <m:r>
              <m:t>10</m:t>
            </m:r>
          </m:e>
          <m:sup>
            <m:r>
              <m:t>−</m:t>
            </m:r>
            <m:r>
              <m:t>13</m:t>
            </m:r>
          </m:sup>
        </m:sSup>
      </m:oMath>
      <w:r>
        <w:t xml:space="preserve"> </w:t>
      </w:r>
      <w:r>
        <w:t xml:space="preserve">s, consistent with Tegmark’s estimate. Why does this decoherence NOT prevent the consciousness framework from functioning?</w:t>
      </w:r>
    </w:p>
    <w:p>
      <w:pPr>
        <w:pStyle w:val="BodyText"/>
      </w:pPr>
      <w:r>
        <w:rPr>
          <w:b/>
        </w:rPr>
        <w:t xml:space="preserve">C13.3</w:t>
      </w:r>
      <w:r>
        <w:t xml:space="preserve"> </w:t>
      </w:r>
      <w:r>
        <w:t xml:space="preserve">In a PEAR-class experiment with</w:t>
      </w:r>
      <w:r>
        <w:t xml:space="preserve"> </w:t>
      </w:r>
      <m:oMath>
        <m:r>
          <m:t>N</m:t>
        </m:r>
        <m:r>
          <m:t>=</m:t>
        </m:r>
        <m:sSup>
          <m:e>
            <m:r>
              <m:t>10</m:t>
            </m:r>
          </m:e>
          <m:sup>
            <m:r>
              <m:t>6</m:t>
            </m:r>
          </m:sup>
        </m:sSup>
      </m:oMath>
      <w:r>
        <w:t xml:space="preserve"> </w:t>
      </w:r>
      <w:r>
        <w:t xml:space="preserve">binary trials, compute the</w:t>
      </w:r>
      <w:r>
        <w:t xml:space="preserve"> </w:t>
      </w:r>
      <m:oMath>
        <m:r>
          <m:t>p</m:t>
        </m:r>
      </m:oMath>
      <w:r>
        <w:t xml:space="preserve">-value of an observed effect</w:t>
      </w:r>
      <w:r>
        <w:t xml:space="preserve"> </w:t>
      </w:r>
      <m:oMath>
        <m:r>
          <m:t>d</m:t>
        </m:r>
        <m:r>
          <m:t>=</m:t>
        </m:r>
        <m:sSup>
          <m:e>
            <m:r>
              <m:t>10</m:t>
            </m:r>
          </m:e>
          <m:sup>
            <m:r>
              <m:t>−</m:t>
            </m:r>
            <m:r>
              <m:t>3</m:t>
            </m:r>
          </m:sup>
        </m:sSup>
      </m:oMath>
      <w:r>
        <w:t xml:space="preserve"> </w:t>
      </w:r>
      <w:r>
        <w:t xml:space="preserve">(i.e., observed deviation of 500 from the expected 500,000/2) against the null hypothesis of no signal. How does the</w:t>
      </w:r>
      <w:r>
        <w:t xml:space="preserve"> </w:t>
      </w:r>
      <m:oMath>
        <m:r>
          <m:t>p</m:t>
        </m:r>
      </m:oMath>
      <w:r>
        <w:t xml:space="preserve">-value change as</w:t>
      </w:r>
      <w:r>
        <w:t xml:space="preserve"> </w:t>
      </w:r>
      <m:oMath>
        <m:r>
          <m:t>d</m:t>
        </m:r>
      </m:oMath>
      <w:r>
        <w:t xml:space="preserve"> </w:t>
      </w:r>
      <w:r>
        <w:t xml:space="preserve">decreases? At what</w:t>
      </w:r>
      <w:r>
        <w:t xml:space="preserve"> </w:t>
      </w:r>
      <m:oMath>
        <m:r>
          <m:t>d</m:t>
        </m:r>
      </m:oMath>
      <w:r>
        <w:t xml:space="preserve"> </w:t>
      </w:r>
      <w:r>
        <w:t xml:space="preserve">does the</w:t>
      </w:r>
      <w:r>
        <w:t xml:space="preserve"> </w:t>
      </w:r>
      <m:oMath>
        <m:r>
          <m:t>p</m:t>
        </m:r>
      </m:oMath>
      <w:r>
        <w:t xml:space="preserve">-value become indistinguishable from baseline noise?</w:t>
      </w:r>
    </w:p>
    <w:p>
      <w:pPr>
        <w:pStyle w:val="BodyText"/>
      </w:pPr>
      <w:r>
        <w:rPr>
          <w:b/>
        </w:rPr>
        <w:t xml:space="preserve">C13.4</w:t>
      </w:r>
      <w:r>
        <w:t xml:space="preserve"> </w:t>
      </w:r>
      <w:r>
        <w:t xml:space="preserve">Using the Zone 1 holographic bound</w:t>
      </w:r>
      <w:r>
        <w:t xml:space="preserve"> </w:t>
      </w:r>
      <m:oMath>
        <m:sSub>
          <m:e>
            <m:r>
              <m:t>I</m:t>
            </m:r>
          </m:e>
          <m:sub>
            <m:r>
              <m:rPr>
                <m:sty m:val="p"/>
              </m:rPr>
              <m:t>m</m:t>
            </m:r>
            <m:r>
              <m:rPr>
                <m:sty m:val="p"/>
              </m:rPr>
              <m:t>a</m:t>
            </m:r>
            <m:r>
              <m:rPr>
                <m:sty m:val="p"/>
              </m:rPr>
              <m:t>x</m:t>
            </m:r>
          </m:sub>
        </m:sSub>
        <m:r>
          <m:t>=</m:t>
        </m:r>
        <m:sSub>
          <m:e>
            <m:r>
              <m:t>k</m:t>
            </m:r>
          </m:e>
          <m:sub>
            <m:r>
              <m:t>B</m:t>
            </m:r>
          </m:sub>
        </m:sSub>
        <m:sSub>
          <m:e>
            <m:r>
              <m:t>A</m:t>
            </m:r>
          </m:e>
          <m:sub>
            <m:r>
              <m:t>Z</m:t>
            </m:r>
            <m:r>
              <m:t>1</m:t>
            </m:r>
          </m:sub>
        </m:sSub>
        <m:r>
          <m:t>/</m:t>
        </m:r>
        <m:r>
          <m:t>(</m:t>
        </m:r>
        <m:r>
          <m:t>4</m:t>
        </m:r>
        <m:sSubSup>
          <m:e>
            <m:r>
              <m:t>ℓ</m:t>
            </m:r>
          </m:e>
          <m:sub>
            <m:r>
              <m:t>P</m:t>
            </m:r>
          </m:sub>
          <m:sup>
            <m:r>
              <m:t>2</m:t>
            </m:r>
          </m:sup>
        </m:sSubSup>
        <m:r>
          <m:rPr>
            <m:nor/>
            <m:sty m:val="p"/>
          </m:rPr>
          <m:t>ln</m:t>
        </m:r>
        <m:r>
          <m:t>2</m:t>
        </m:r>
        <m:r>
          <m:t>)</m:t>
        </m:r>
      </m:oMath>
      <w:r>
        <w:t xml:space="preserve"> </w:t>
      </w:r>
      <w:r>
        <w:t xml:space="preserve">(Eq. 11.5.4), compute an upper bound on</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information capacity for</w:t>
      </w:r>
      <w:r>
        <w:t xml:space="preserve"> </w:t>
      </w:r>
      <m:oMath>
        <m:sSub>
          <m:e>
            <m:r>
              <m:t>A</m:t>
            </m:r>
          </m:e>
          <m:sub>
            <m:r>
              <m:t>Z</m:t>
            </m:r>
            <m:r>
              <m:t>1</m:t>
            </m:r>
          </m:sub>
        </m:sSub>
      </m:oMath>
      <w:r>
        <w:t xml:space="preserve"> </w:t>
      </w:r>
      <w:r>
        <w:t xml:space="preserve">corresponding to (i) one human consciousness footprint (use the framework’s tentative estimate from Ch. 11), (ii) a population of</w:t>
      </w:r>
      <w:r>
        <w:t xml:space="preserve"> </w:t>
      </w:r>
      <m:oMath>
        <m:sSup>
          <m:e>
            <m:r>
              <m:t>10</m:t>
            </m:r>
          </m:e>
          <m:sup>
            <m:r>
              <m:t>10</m:t>
            </m:r>
          </m:sup>
        </m:sSup>
      </m:oMath>
      <w:r>
        <w:t xml:space="preserve"> </w:t>
      </w:r>
      <w:r>
        <w:t xml:space="preserve">conscious agents sharing a Zone 1 domain, (iii) the entire Zone 1 manifold (if bounded). Comment on the practical vs. theoretical nature of each bound.</w:t>
      </w:r>
    </w:p>
    <w:p>
      <w:pPr>
        <w:pStyle w:val="BodyText"/>
      </w:pPr>
      <w:r>
        <w:rPr>
          <w:b/>
        </w:rPr>
        <w:t xml:space="preserve">Conceptual Problems</w:t>
      </w:r>
    </w:p>
    <w:p>
      <w:pPr>
        <w:pStyle w:val="BodyText"/>
      </w:pPr>
      <w:r>
        <w:rPr>
          <w:b/>
        </w:rPr>
        <w:t xml:space="preserve">C13.5</w:t>
      </w:r>
      <w:r>
        <w:t xml:space="preserve"> </w:t>
      </w:r>
      <w:r>
        <w:t xml:space="preserve">Explain in one paragraph why</w:t>
      </w:r>
      <w:r>
        <w:t xml:space="preserve"> </w:t>
      </w:r>
      <w:r>
        <w:t xml:space="preserve">“</w:t>
      </w:r>
      <w:r>
        <w:t xml:space="preserve">consciousness collapses the wavefunction</w:t>
      </w:r>
      <w:r>
        <w:t xml:space="preserve">”</w:t>
      </w:r>
      <w:r>
        <w:t xml:space="preserve"> </w:t>
      </w:r>
      <w:r>
        <w:t xml:space="preserve">is</w:t>
      </w:r>
      <w:r>
        <w:t xml:space="preserve"> </w:t>
      </w:r>
      <w:r>
        <w:rPr>
          <w:i/>
        </w:rPr>
        <w:t xml:space="preserve">not</w:t>
      </w:r>
      <w:r>
        <w:t xml:space="preserve"> </w:t>
      </w:r>
      <w:r>
        <w:t xml:space="preserve">a valid reading of the zone-architecture framework. Cite the specific decoherence mechanism (§13.2) that makes consciousness downstream of measurement.</w:t>
      </w:r>
    </w:p>
    <w:p>
      <w:pPr>
        <w:pStyle w:val="BodyText"/>
      </w:pPr>
      <w:r>
        <w:rPr>
          <w:b/>
        </w:rPr>
        <w:t xml:space="preserve">C13.6</w:t>
      </w:r>
      <w:r>
        <w:t xml:space="preserve"> </w:t>
      </w:r>
      <w:r>
        <w:t xml:space="preserve">Distinguish between (i) the controllability condition on</w:t>
      </w:r>
      <w:r>
        <w:t xml:space="preserve"> </w:t>
      </w:r>
      <m:oMath>
        <m:sSub>
          <m:e>
            <m:r>
              <m:t>Ψ</m:t>
            </m:r>
          </m:e>
          <m:sub>
            <m:r>
              <m:rPr>
                <m:sty m:val="p"/>
              </m:rPr>
              <m:t>s</m:t>
            </m:r>
            <m:r>
              <m:rPr>
                <m:sty m:val="p"/>
              </m:rPr>
              <m:t>p</m:t>
            </m:r>
            <m:r>
              <m:rPr>
                <m:sty m:val="p"/>
              </m:rPr>
              <m:t>i</m:t>
            </m:r>
            <m:r>
              <m:rPr>
                <m:sty m:val="p"/>
              </m:rPr>
              <m:t>r</m:t>
            </m:r>
            <m:r>
              <m:rPr>
                <m:sty m:val="p"/>
              </m:rPr>
              <m:t>i</m:t>
            </m:r>
            <m:r>
              <m:rPr>
                <m:sty m:val="p"/>
              </m:rPr>
              <m:t>t</m:t>
            </m:r>
          </m:sub>
        </m:sSub>
      </m:oMath>
      <w:r>
        <w:t xml:space="preserve"> </w:t>
      </w:r>
      <w:r>
        <w:t xml:space="preserve">(a conscious agent can voluntarily modulate their Zone 1 component) and (ii) the controllability condition on a particle’s measurement outcome (an experimenter can choose which eigenstate the particle is found in). Which is the framework’s position on each? What structural feature of Zone 1 would be required for (i) to hold while (ii) does not?</w:t>
      </w:r>
    </w:p>
    <w:p>
      <w:pPr>
        <w:pStyle w:val="BodyText"/>
      </w:pPr>
      <w:r>
        <w:rPr>
          <w:b/>
        </w:rPr>
        <w:t xml:space="preserve">C13.7</w:t>
      </w:r>
      <w:r>
        <w:t xml:space="preserve"> </w:t>
      </w:r>
      <w:r>
        <w:t xml:space="preserve">State the phenomenology gap (§13.7) in your own words. Why is the framework’s decision not to derive subjective experience a design choice rather than a limitation? How does this decision compare with Maxwell’s equations’ silence on the subjective quality of red?</w:t>
      </w:r>
    </w:p>
    <w:p>
      <w:pPr>
        <w:pStyle w:val="BodyText"/>
      </w:pPr>
      <w:r>
        <w:rPr>
          <w:b/>
        </w:rPr>
        <w:t xml:space="preserve">C13.8</w:t>
      </w:r>
      <w:r>
        <w:t xml:space="preserve"> </w:t>
      </w:r>
      <w:r>
        <w:t xml:space="preserve">Give one example each of: (a) a reading of the framework that would be preaching, (b) a reading that would be mysticism, (c) a reading that would be</w:t>
      </w:r>
      <w:r>
        <w:t xml:space="preserve"> </w:t>
      </w:r>
      <w:r>
        <w:t xml:space="preserve">“</w:t>
      </w:r>
      <w:r>
        <w:t xml:space="preserve">scientizing the supernatural,</w:t>
      </w:r>
      <w:r>
        <w:t xml:space="preserve">”</w:t>
      </w:r>
      <w:r>
        <w:t xml:space="preserve"> </w:t>
      </w:r>
      <w:r>
        <w:t xml:space="preserve">and (d) a reading that respects the framework’s stated discipline in §13.1 and §13.8.</w:t>
      </w:r>
    </w:p>
    <w:p>
      <w:pPr>
        <w:pStyle w:val="BodyText"/>
      </w:pPr>
      <w:r>
        <w:rPr>
          <w:b/>
        </w:rPr>
        <w:t xml:space="preserve">Challenge Problems</w:t>
      </w:r>
    </w:p>
    <w:p>
      <w:pPr>
        <w:pStyle w:val="BodyText"/>
      </w:pPr>
      <w:r>
        <w:rPr>
          <w:b/>
        </w:rPr>
        <w:t xml:space="preserve">Ch13.1</w:t>
      </w:r>
      <w:r>
        <w:t xml:space="preserve"> </w:t>
      </w:r>
      <w:r>
        <w:t xml:space="preserve">Design a pre-registered, adequately-powered experimental protocol that would test P-154 (controllability threshold) against a materialist null. Specify: (i) the RNG source and its NIST-traceable validation, (ii) the volitional-encoding protocol for the sender, including interventions against unconscious cueing, (iii) the blinding and pre-registration strategy at OSF or equivalent, (iv) the sample size</w:t>
      </w:r>
      <w:r>
        <w:t xml:space="preserve"> </w:t>
      </w:r>
      <m:oMath>
        <m:r>
          <m:t>N</m:t>
        </m:r>
      </m:oMath>
      <w:r>
        <w:t xml:space="preserve"> </w:t>
      </w:r>
      <w:r>
        <w:t xml:space="preserve">required for</w:t>
      </w:r>
      <w:r>
        <w:t xml:space="preserve"> </w:t>
      </w:r>
      <m:oMath>
        <m:r>
          <m:t>p</m:t>
        </m:r>
        <m:r>
          <m:t>&lt;</m:t>
        </m:r>
        <m:sSup>
          <m:e>
            <m:r>
              <m:t>10</m:t>
            </m:r>
          </m:e>
          <m:sup>
            <m:r>
              <m:t>−</m:t>
            </m:r>
            <m:r>
              <m:t>6</m:t>
            </m:r>
          </m:sup>
        </m:sSup>
      </m:oMath>
      <w:r>
        <w:t xml:space="preserve"> </w:t>
      </w:r>
      <w:r>
        <w:t xml:space="preserve">at effect size</w:t>
      </w:r>
      <w:r>
        <w:t xml:space="preserve"> </w:t>
      </w:r>
      <m:oMath>
        <m:r>
          <m:t>d</m:t>
        </m:r>
        <m:r>
          <m:t>=</m:t>
        </m:r>
        <m:sSup>
          <m:e>
            <m:r>
              <m:t>10</m:t>
            </m:r>
          </m:e>
          <m:sup>
            <m:r>
              <m:t>−</m:t>
            </m:r>
            <m:r>
              <m:t>4</m:t>
            </m:r>
          </m:sup>
        </m:sSup>
      </m:oMath>
      <w:r>
        <w:t xml:space="preserve">, (v) the adversarial review board composition, (vi) the infrastructure cost estimate. Critique your own protocol for experimenter effects and file-drawer biases.</w:t>
      </w:r>
    </w:p>
    <w:p>
      <w:pPr>
        <w:pStyle w:val="BodyText"/>
      </w:pPr>
      <w:r>
        <w:rPr>
          <w:b/>
        </w:rPr>
        <w:t xml:space="preserve">Ch13.2</w:t>
      </w:r>
      <w:r>
        <w:t xml:space="preserve"> </w:t>
      </w:r>
      <w:r>
        <w:t xml:space="preserve">Formulate a mathematically precise criterion — using quantum-coherence observables accessible in pri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2026-04-17T16:51:39Z</dcterms:created>
  <dcterms:modified xsi:type="dcterms:W3CDTF">2026-04-17T16:51:39Z</dcterms:modified>
</cp:coreProperties>
</file>

<file path=docProps/custom.xml><?xml version="1.0" encoding="utf-8"?>
<Properties xmlns="http://schemas.openxmlformats.org/officeDocument/2006/custom-properties" xmlns:vt="http://schemas.openxmlformats.org/officeDocument/2006/docPropsVTypes"/>
</file>