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E11B22"/>
          <w:sz w:val="22"/>
        </w:rPr>
        <w:t>LUCKY LION eBIKE  ·  DEMO ACCOUNTS</w:t>
      </w:r>
    </w:p>
    <w:p>
      <w:r>
        <w:rPr>
          <w:rFonts w:ascii="Calibri" w:hAnsi="Calibri"/>
          <w:b/>
          <w:color w:val="141414"/>
          <w:sz w:val="44"/>
        </w:rPr>
        <w:t>Login &amp; Password Reference</w:t>
      </w:r>
    </w:p>
    <w:p>
      <w:r>
        <w:rPr>
          <w:rFonts w:ascii="Calibri" w:hAnsi="Calibri"/>
          <w:b w:val="0"/>
          <w:color w:val="6B707B"/>
          <w:sz w:val="21"/>
        </w:rPr>
        <w:t>Demo accounts for the walkthrough only. One customer and one staff account per branch, plus the company admin. Passwords follow the pattern: username + “123”.</w:t>
      </w:r>
    </w:p>
    <w:p>
      <w:r>
        <w:rPr>
          <w:rFonts w:ascii="Calibri" w:hAnsi="Calibri"/>
          <w:b/>
          <w:color w:val="E11B22"/>
          <w:sz w:val="24"/>
        </w:rPr>
        <w:t xml:space="preserve">ADMIN (all branches):  </w:t>
      </w:r>
      <w:r>
        <w:rPr>
          <w:rFonts w:ascii="Calibri" w:hAnsi="Calibri"/>
          <w:b w:val="0"/>
          <w:color w:val="141414"/>
          <w:sz w:val="24"/>
        </w:rPr>
        <w:t xml:space="preserve">username </w:t>
      </w:r>
      <w:r>
        <w:rPr>
          <w:rFonts w:ascii="Calibri" w:hAnsi="Calibri"/>
          <w:b/>
          <w:color w:val="141414"/>
          <w:sz w:val="24"/>
        </w:rPr>
        <w:t>admin</w:t>
      </w:r>
      <w:r>
        <w:rPr>
          <w:rFonts w:ascii="Calibri" w:hAnsi="Calibri"/>
          <w:b w:val="0"/>
          <w:color w:val="141414"/>
          <w:sz w:val="24"/>
        </w:rPr>
        <w:t xml:space="preserve">   password </w:t>
      </w:r>
      <w:r>
        <w:rPr>
          <w:rFonts w:ascii="Calibri" w:hAnsi="Calibri"/>
          <w:b/>
          <w:color w:val="141414"/>
          <w:sz w:val="24"/>
        </w:rPr>
        <w:t>admin123</w:t>
      </w:r>
      <w:r>
        <w:rPr>
          <w:rFonts w:ascii="Calibri" w:hAnsi="Calibri"/>
          <w:b w:val="0"/>
          <w:color w:val="6B707B"/>
          <w:sz w:val="21"/>
        </w:rPr>
        <w:t xml:space="preserve">   (Member ID ADMIN-01 · staff.html → Dashboard + Analytics)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E11B22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Branch</w:t>
            </w:r>
          </w:p>
        </w:tc>
        <w:tc>
          <w:tcPr>
            <w:tcW w:type="dxa" w:w="1704"/>
            <w:shd w:val="clear" w:color="auto" w:fill="E11B22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1704"/>
            <w:shd w:val="clear" w:color="auto" w:fill="E11B22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1704"/>
            <w:shd w:val="clear" w:color="auto" w:fill="E11B22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Member ID</w:t>
            </w:r>
          </w:p>
        </w:tc>
        <w:tc>
          <w:tcPr>
            <w:tcW w:type="dxa" w:w="1704"/>
            <w:shd w:val="clear" w:color="auto" w:fill="E11B22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Username</w:t>
            </w:r>
          </w:p>
        </w:tc>
        <w:tc>
          <w:tcPr>
            <w:tcW w:type="dxa" w:w="1704"/>
            <w:shd w:val="clear" w:color="auto" w:fill="E11B22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Password</w:t>
            </w:r>
          </w:p>
        </w:tc>
      </w:tr>
      <w:tr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Main — Buhay na Tubig, Imus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Customer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Maria Santos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MAIN-C-0001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maria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maria123</w:t>
            </w:r>
          </w:p>
        </w:tc>
      </w:tr>
      <w:tr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Staff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Rico Cruz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MAIN-S-01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rico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rico123</w:t>
            </w:r>
          </w:p>
        </w:tc>
      </w:tr>
      <w:tr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Imus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Customer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Pedro Reyes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IMUS-C-0001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pedro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pedro123</w:t>
            </w:r>
          </w:p>
        </w:tc>
      </w:tr>
      <w:tr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Staff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Juan Delos Reyes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IMUS-S-01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juan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juan123</w:t>
            </w:r>
          </w:p>
        </w:tc>
      </w:tr>
      <w:tr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Trece Martires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Customer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Ana Lim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TRECE-C-0001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ana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ana123</w:t>
            </w:r>
          </w:p>
        </w:tc>
      </w:tr>
      <w:tr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Staff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Lito Ramos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TRECE-S-01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lito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lito123</w:t>
            </w:r>
          </w:p>
        </w:tc>
      </w:tr>
      <w:tr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Tanza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Customer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Carlo Mendoza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TANZA-C-0001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carlo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carlo123</w:t>
            </w:r>
          </w:p>
        </w:tc>
      </w:tr>
      <w:tr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Staff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Bea Villanueva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TANZA-S-01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bea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bea123</w:t>
            </w:r>
          </w:p>
        </w:tc>
      </w:tr>
      <w:tr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Naic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Customer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Rosa Fernandez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NAIC-C-0001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rosa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rosa123</w:t>
            </w:r>
          </w:p>
        </w:tc>
      </w:tr>
      <w:tr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Staff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Nico Aquino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NAIC-S-01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nico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nico123</w:t>
            </w:r>
          </w:p>
        </w:tc>
      </w:tr>
      <w:tr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Tejero (General Trias)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Customer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Dennis Garcia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TEJERO-C-0001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dennis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dennis123</w:t>
            </w:r>
          </w:p>
        </w:tc>
      </w:tr>
      <w:tr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Staff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Grace Bautista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TEJERO-S-01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grace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grace123</w:t>
            </w:r>
          </w:p>
        </w:tc>
      </w:tr>
      <w:tr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Gen. Mariano Alvarez (GMA)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Customer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Mila Torres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GMA-C-0001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mila</w:t>
            </w:r>
          </w:p>
        </w:tc>
        <w:tc>
          <w:tcPr>
            <w:tcW w:type="dxa" w:w="1704"/>
            <w:shd w:val="clear" w:color="auto" w:fill="FDEBEC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mila123</w:t>
            </w:r>
          </w:p>
        </w:tc>
      </w:tr>
      <w:tr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Staff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Paolo Navarro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 w:val="0"/>
                <w:color w:val="141414"/>
                <w:sz w:val="22"/>
              </w:rPr>
              <w:t>GMA-S-01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paolo</w:t>
            </w:r>
          </w:p>
        </w:tc>
        <w:tc>
          <w:tcPr>
            <w:tcW w:type="dxa" w:w="1704"/>
            <w:shd w:val="clear" w:color="auto" w:fill="EEF1F6"/>
          </w:tcPr>
          <w:p>
            <w:r/>
            <w:r>
              <w:rPr>
                <w:rFonts w:ascii="Calibri" w:hAnsi="Calibri"/>
                <w:b/>
                <w:color w:val="141414"/>
                <w:sz w:val="22"/>
              </w:rPr>
              <w:t>paolo123</w:t>
            </w:r>
          </w:p>
        </w:tc>
      </w:tr>
      <w:tr>
        <w:tc>
          <w:tcPr>
            <w:tcW w:type="dxa" w:w="1704"/>
            <w:shd w:val="clear" w:color="auto" w:fill="141414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All branches</w:t>
            </w:r>
          </w:p>
        </w:tc>
        <w:tc>
          <w:tcPr>
            <w:tcW w:type="dxa" w:w="1704"/>
            <w:shd w:val="clear" w:color="auto" w:fill="141414"/>
          </w:tcPr>
          <w:p>
            <w:r/>
            <w:r>
              <w:rPr>
                <w:rFonts w:ascii="Calibri" w:hAnsi="Calibri"/>
                <w:b w:val="0"/>
                <w:color w:val="FFFFFF"/>
                <w:sz w:val="22"/>
              </w:rPr>
              <w:t>Admin</w:t>
            </w:r>
          </w:p>
        </w:tc>
        <w:tc>
          <w:tcPr>
            <w:tcW w:type="dxa" w:w="1704"/>
            <w:shd w:val="clear" w:color="auto" w:fill="141414"/>
          </w:tcPr>
          <w:p>
            <w:r/>
            <w:r>
              <w:rPr>
                <w:rFonts w:ascii="Calibri" w:hAnsi="Calibri"/>
                <w:b w:val="0"/>
                <w:color w:val="FFFFFF"/>
                <w:sz w:val="22"/>
              </w:rPr>
              <w:t>Owner / Admin</w:t>
            </w:r>
          </w:p>
        </w:tc>
        <w:tc>
          <w:tcPr>
            <w:tcW w:type="dxa" w:w="1704"/>
            <w:shd w:val="clear" w:color="auto" w:fill="141414"/>
          </w:tcPr>
          <w:p>
            <w:r/>
            <w:r>
              <w:rPr>
                <w:rFonts w:ascii="Calibri" w:hAnsi="Calibri"/>
                <w:b w:val="0"/>
                <w:color w:val="FFFFFF"/>
                <w:sz w:val="22"/>
              </w:rPr>
              <w:t>ADMIN-01</w:t>
            </w:r>
          </w:p>
        </w:tc>
        <w:tc>
          <w:tcPr>
            <w:tcW w:type="dxa" w:w="1704"/>
            <w:shd w:val="clear" w:color="auto" w:fill="141414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admin</w:t>
            </w:r>
          </w:p>
        </w:tc>
        <w:tc>
          <w:tcPr>
            <w:tcW w:type="dxa" w:w="1704"/>
            <w:shd w:val="clear" w:color="auto" w:fill="141414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admin123</w:t>
            </w:r>
          </w:p>
        </w:tc>
      </w:tr>
    </w:tbl>
    <w:p/>
    <w:p>
      <w:r>
        <w:rPr>
          <w:rFonts w:ascii="Calibri" w:hAnsi="Calibri"/>
          <w:b/>
          <w:color w:val="141414"/>
          <w:sz w:val="26"/>
        </w:rPr>
        <w:t>How to log in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1"/>
        </w:rPr>
        <w:t>Customers log in on the public site (index.html) — Login button, top right.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1"/>
        </w:rPr>
        <w:t>Staff and Admin use the portal (staff.html); it redirects non-staff back to the public site.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1"/>
        </w:rPr>
        <w:t>Admin sees every branch (read-only oversight) plus the Dashboard and Analytics.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1"/>
        </w:rPr>
        <w:t>Staff see and manage only their own branch.</w:t>
      </w:r>
    </w:p>
    <w:p>
      <w:r>
        <w:rPr>
          <w:rFonts w:ascii="Calibri" w:hAnsi="Calibri"/>
          <w:b w:val="0"/>
          <w:color w:val="6B707B"/>
          <w:sz w:val="19"/>
        </w:rPr>
        <w:t>These accounts are created by supabase/demo-data.sql and removed by supabase/demo-data-cleanup.sql after the demo.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