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look at bits of IL code at runtime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useful?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can be used to check the IL code for something like Code Analysis, It can be used on ANY compiled assembly to check for coding standards etc.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have code written in C#, and I pass out assembly and someone wants to see my source code. They could use IL and reverse engineer it to get your original source code.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 tool called ILDasm to view .Dll and compiled files to look at the original src code.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Main (FileInfo file, Action action, FileInfo extractFile)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if I could write a main like this?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assuming that we have written an enum for action.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Unzip [file] [action] [extractFile]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can use reflection to generate this line - the header of the help text for the console program.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reflection to Require a using statement to work instead of with only IDisposables with anything that has an Dispose() method.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the ability to find out what APIs are available at runtime.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Roslyn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look at src code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useful?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look at src code to look to do Code Analysis Stuff, most CA features now a days use a Roslyn. Roslyn is easier for live CA?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Expression Trees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understand how linq turns things into sql statements you need to understand this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Language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testing capability to simulate and actual user navigating to your 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Containers/Docker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would be mark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MSBuild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DSL is a domain specific language, and csproj is actually a DSL to define how to compile your code.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compilation process and HOW it works.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more of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Great language for writing dev ops and doing automated scripts.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Does not use a Console.readline when parsing the | on this. It insteads interprets the right side of the pipe as an object.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Its incredibly powerfull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 variables are predicated with $.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$_ is the magical iterator for the code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 is the alias for ForEach-Object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 is the alias for Where-Object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“help” keyword is an alias for get-help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