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ChinaTextbook v1.1</w:t>
        <w:br/>
        <w:t>第二批交付 2.1</w:t>
        <w:br/>
        <w:t>系统总体架构设计</w:t>
      </w:r>
    </w:p>
    <w:p>
      <w:pPr>
        <w:pStyle w:val="Heading2"/>
      </w:pPr>
      <w:r>
        <w:t>1. 文档目的</w:t>
      </w:r>
    </w:p>
    <w:p>
      <w:r>
        <w:t>本文档定义 ChinaTextbook v1.1 的总体软件架构，为开发人员提供统一的系统边界、模块职责、分层原则、部署方式和关键设计决策。本设计是后续模块设计（2.2）、数据模型（2.3）和状态机（2.4）的基础。</w:t>
      </w:r>
    </w:p>
    <w:p>
      <w:pPr>
        <w:pStyle w:val="Heading2"/>
      </w:pPr>
      <w:r>
        <w:t>2. 设计目标</w:t>
      </w:r>
    </w:p>
    <w:p>
      <w:pPr>
        <w:pStyle w:val="ListBullet"/>
      </w:pPr>
      <w:r>
        <w:t>固定使用 GitHub 官方仓库，取消测速、多镜像和 Gitee 支持。</w:t>
      </w:r>
    </w:p>
    <w:p>
      <w:pPr>
        <w:pStyle w:val="ListBullet"/>
      </w:pPr>
      <w:r>
        <w:t>采用 Textual 构建跨平台 TUI（Windows、Ubuntu）。</w:t>
      </w:r>
    </w:p>
    <w:p>
      <w:pPr>
        <w:pStyle w:val="ListBullet"/>
      </w:pPr>
      <w:r>
        <w:t>选择粒度提升到具体教材（Book）。</w:t>
      </w:r>
    </w:p>
    <w:p>
      <w:pPr>
        <w:pStyle w:val="ListBullet"/>
      </w:pPr>
      <w:r>
        <w:t>保留 v1.0 全部安全机制（fail-closed、SHA256、断点恢复、原子写入）。</w:t>
      </w:r>
    </w:p>
    <w:p>
      <w:pPr>
        <w:pStyle w:val="ListBullet"/>
      </w:pPr>
      <w:r>
        <w:t>UI 与后台任务解耦，长时间任务不得阻塞界面。</w:t>
      </w:r>
    </w:p>
    <w:p>
      <w:pPr>
        <w:pStyle w:val="Heading2"/>
      </w:pPr>
      <w:r>
        <w:t>3. 分层架构</w:t>
      </w:r>
    </w:p>
    <w:p>
      <w:r>
        <w:t>表示层（UI）</w:t>
        <w:br/>
        <w:t xml:space="preserve">    ↓</w:t>
        <w:br/>
        <w:t>应用层（Application）</w:t>
        <w:br/>
        <w:t xml:space="preserve">    ↓</w:t>
        <w:br/>
        <w:t>核心服务层（Catalog / Git / Downloader / Merger / Verifier / Updater）</w:t>
        <w:br/>
        <w:t xml:space="preserve">    ↓</w:t>
        <w:br/>
        <w:t>基础设施层（State / Logging / Config / FileSystem）</w:t>
        <w:br/>
      </w:r>
    </w:p>
    <w:p>
      <w:pPr>
        <w:pStyle w:val="Heading2"/>
      </w:pPr>
      <w:r>
        <w:t>4. 模块职责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禁止事项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TreeView、搜索、详情、任务面板</w:t>
            </w:r>
          </w:p>
        </w:tc>
        <w:tc>
          <w:tcPr>
            <w:tcW w:type="dxa" w:w="2880"/>
          </w:tcPr>
          <w:p>
            <w:r>
              <w:t>不得直接操作 Git 或文件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协调业务流程、调度 Worker</w:t>
            </w:r>
          </w:p>
        </w:tc>
        <w:tc>
          <w:tcPr>
            <w:tcW w:type="dxa" w:w="2880"/>
          </w:tcPr>
          <w:p>
            <w:r>
              <w:t>不得包含底层 IO</w:t>
            </w:r>
          </w:p>
        </w:tc>
      </w:tr>
      <w:tr>
        <w:tc>
          <w:tcPr>
            <w:tcW w:type="dxa" w:w="2880"/>
          </w:tcPr>
          <w:p>
            <w:r>
              <w:t>Catalog</w:t>
            </w:r>
          </w:p>
        </w:tc>
        <w:tc>
          <w:tcPr>
            <w:tcW w:type="dxa" w:w="2880"/>
          </w:tcPr>
          <w:p>
            <w:r>
              <w:t>构建 Book 索引</w:t>
            </w:r>
          </w:p>
        </w:tc>
        <w:tc>
          <w:tcPr>
            <w:tcW w:type="dxa" w:w="2880"/>
          </w:tcPr>
          <w:p>
            <w:r>
              <w:t>不得执行下载</w:t>
            </w:r>
          </w:p>
        </w:tc>
      </w:tr>
      <w:tr>
        <w:tc>
          <w:tcPr>
            <w:tcW w:type="dxa" w:w="2880"/>
          </w:tcPr>
          <w:p>
            <w:r>
              <w:t>Git Client</w:t>
            </w:r>
          </w:p>
        </w:tc>
        <w:tc>
          <w:tcPr>
            <w:tcW w:type="dxa" w:w="2880"/>
          </w:tcPr>
          <w:p>
            <w:r>
              <w:t>Clone、Fetch、Sparse Checkout</w:t>
            </w:r>
          </w:p>
        </w:tc>
        <w:tc>
          <w:tcPr>
            <w:tcW w:type="dxa" w:w="2880"/>
          </w:tcPr>
          <w:p>
            <w:r>
              <w:t>不得修改 UI</w:t>
            </w:r>
          </w:p>
        </w:tc>
      </w:tr>
      <w:tr>
        <w:tc>
          <w:tcPr>
            <w:tcW w:type="dxa" w:w="2880"/>
          </w:tcPr>
          <w:p>
            <w:r>
              <w:t>Downloader</w:t>
            </w:r>
          </w:p>
        </w:tc>
        <w:tc>
          <w:tcPr>
            <w:tcW w:type="dxa" w:w="2880"/>
          </w:tcPr>
          <w:p>
            <w:r>
              <w:t>下载教材文件</w:t>
            </w:r>
          </w:p>
        </w:tc>
        <w:tc>
          <w:tcPr>
            <w:tcW w:type="dxa" w:w="2880"/>
          </w:tcPr>
          <w:p>
            <w:r>
              <w:t>不得直接更新状态文件</w:t>
            </w:r>
          </w:p>
        </w:tc>
      </w:tr>
      <w:tr>
        <w:tc>
          <w:tcPr>
            <w:tcW w:type="dxa" w:w="2880"/>
          </w:tcPr>
          <w:p>
            <w:r>
              <w:t>Merger</w:t>
            </w:r>
          </w:p>
        </w:tc>
        <w:tc>
          <w:tcPr>
            <w:tcW w:type="dxa" w:w="2880"/>
          </w:tcPr>
          <w:p>
            <w:r>
              <w:t>PDF 合并</w:t>
            </w:r>
          </w:p>
        </w:tc>
        <w:tc>
          <w:tcPr>
            <w:tcW w:type="dxa" w:w="2880"/>
          </w:tcPr>
          <w:p>
            <w:r>
              <w:t>不得跳过校验</w:t>
            </w:r>
          </w:p>
        </w:tc>
      </w:tr>
      <w:tr>
        <w:tc>
          <w:tcPr>
            <w:tcW w:type="dxa" w:w="2880"/>
          </w:tcPr>
          <w:p>
            <w:r>
              <w:t>Verifier</w:t>
            </w:r>
          </w:p>
        </w:tc>
        <w:tc>
          <w:tcPr>
            <w:tcW w:type="dxa" w:w="2880"/>
          </w:tcPr>
          <w:p>
            <w:r>
              <w:t>SHA256 校验</w:t>
            </w:r>
          </w:p>
        </w:tc>
        <w:tc>
          <w:tcPr>
            <w:tcW w:type="dxa" w:w="2880"/>
          </w:tcPr>
          <w:p>
            <w:r>
              <w:t>不得删除源分卷</w:t>
            </w:r>
          </w:p>
        </w:tc>
      </w:tr>
      <w:tr>
        <w:tc>
          <w:tcPr>
            <w:tcW w:type="dxa" w:w="2880"/>
          </w:tcPr>
          <w:p>
            <w:r>
              <w:t>Updater</w:t>
            </w:r>
          </w:p>
        </w:tc>
        <w:tc>
          <w:tcPr>
            <w:tcW w:type="dxa" w:w="2880"/>
          </w:tcPr>
          <w:p>
            <w:r>
              <w:t>软件/教材更新</w:t>
            </w:r>
          </w:p>
        </w:tc>
        <w:tc>
          <w:tcPr>
            <w:tcW w:type="dxa" w:w="2880"/>
          </w:tcPr>
          <w:p>
            <w:r>
              <w:t>不得覆盖用户配置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状态持久化</w:t>
            </w:r>
          </w:p>
        </w:tc>
        <w:tc>
          <w:tcPr>
            <w:tcW w:type="dxa" w:w="2880"/>
          </w:tcPr>
          <w:p>
            <w:r>
              <w:t>不得承担业务逻辑</w:t>
            </w:r>
          </w:p>
        </w:tc>
      </w:tr>
    </w:tbl>
    <w:p>
      <w:pPr>
        <w:pStyle w:val="Heading2"/>
      </w:pPr>
      <w:r>
        <w:t>5. 数据流</w:t>
      </w:r>
    </w:p>
    <w:p>
      <w:r>
        <w:t>GitHub 仓库 → Git Tree → Book 索引 → 用户选择 → 文件级 Sparse Checkout → 下载 → PDF 合并 → SHA256 校验 → 输出目录 → 状态持久化</w:t>
      </w:r>
    </w:p>
    <w:p>
      <w:pPr>
        <w:pStyle w:val="Heading2"/>
      </w:pPr>
      <w:r>
        <w:t>6. 后台任务原则</w:t>
      </w:r>
    </w:p>
    <w:p>
      <w:pPr>
        <w:pStyle w:val="ListBullet"/>
      </w:pPr>
      <w:r>
        <w:t>所有 Git、下载、合并、校验均运行在 Worker。</w:t>
      </w:r>
    </w:p>
    <w:p>
      <w:pPr>
        <w:pStyle w:val="ListBullet"/>
      </w:pPr>
      <w:r>
        <w:t>UI 主线程只负责渲染与事件响应。</w:t>
      </w:r>
    </w:p>
    <w:p>
      <w:pPr>
        <w:pStyle w:val="ListBullet"/>
      </w:pPr>
      <w:r>
        <w:t>取消操作必须安全停止，不允许破坏已写入数据。</w:t>
      </w:r>
    </w:p>
    <w:p>
      <w:pPr>
        <w:pStyle w:val="ListBullet"/>
      </w:pPr>
      <w:r>
        <w:t>所有输出采用临时文件 + 原子替换。</w:t>
      </w:r>
    </w:p>
    <w:p>
      <w:pPr>
        <w:pStyle w:val="Heading2"/>
      </w:pPr>
      <w:r>
        <w:t>7. 非功能要求</w:t>
      </w:r>
    </w:p>
    <w:p>
      <w:pPr>
        <w:pStyle w:val="ListBullet"/>
      </w:pPr>
      <w:r>
        <w:t>Windows 与 Ubuntu 保持一致体验。</w:t>
      </w:r>
    </w:p>
    <w:p>
      <w:pPr>
        <w:pStyle w:val="ListBullet"/>
      </w:pPr>
      <w:r>
        <w:t>日志脱敏，不记录 Token。</w:t>
      </w:r>
    </w:p>
    <w:p>
      <w:pPr>
        <w:pStyle w:val="ListBullet"/>
      </w:pPr>
      <w:r>
        <w:t>所有危险操作默认 fail-closed。</w:t>
      </w:r>
    </w:p>
    <w:p>
      <w:pPr>
        <w:pStyle w:val="ListBullet"/>
      </w:pPr>
      <w:r>
        <w:t>模块低耦合，高内聚，便于单元测试。</w:t>
      </w:r>
    </w:p>
    <w:p>
      <w:pPr>
        <w:pStyle w:val="Heading2"/>
      </w:pPr>
      <w:r>
        <w:t>8. 后续文档关联</w:t>
      </w:r>
    </w:p>
    <w:p>
      <w:r>
        <w:t>2.2《模块设计说明》将细化各模块接口；2.3《数据模型设计》定义 Book、Task、State 等对象；2.4《状态机设计》定义生命周期与异常恢复。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