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5A42F8">
      <w:pPr>
        <w:spacing w:before="1200"/>
        <w:jc w:val="center"/>
      </w:pPr>
      <w:r>
        <w:rPr>
          <w:b/>
          <w:color w:val="1F4E79"/>
          <w:sz w:val="44"/>
        </w:rPr>
        <w:t>ADMINISTRATIVE LAW — PART B</w:t>
      </w:r>
    </w:p>
    <w:p w14:paraId="67F8B6FF">
      <w:pPr>
        <w:jc w:val="center"/>
      </w:pPr>
      <w:r>
        <w:rPr>
          <w:color w:val="595959"/>
          <w:sz w:val="28"/>
        </w:rPr>
        <w:t>Model Essays for Past Examination Questions (2012–2025)</w:t>
      </w:r>
    </w:p>
    <w:p w14:paraId="656186AE">
      <w:pPr>
        <w:jc w:val="center"/>
      </w:pPr>
      <w:r>
        <w:rPr>
          <w:sz w:val="22"/>
        </w:rPr>
        <w:t>Seventeen essays covering thirty-three questions · Method: contention → both sides → preferred position</w:t>
      </w:r>
    </w:p>
    <w:p w14:paraId="67FF29B7">
      <w:pPr>
        <w:spacing w:before="200"/>
        <w:jc w:val="center"/>
      </w:pPr>
      <w:r>
        <w:rPr>
          <w:i/>
          <w:color w:val="595959"/>
          <w:sz w:val="18"/>
        </w:rPr>
        <w:t>Prepared for Raymond · 7 June 2026 · QA-reviewed to High Distinction standard (one rework cycle + verification)</w:t>
      </w:r>
    </w:p>
    <w:p w14:paraId="3C099BA8">
      <w:pPr>
        <w:spacing w:before="360"/>
      </w:pPr>
      <w:r>
        <w:rPr>
          <w:b/>
          <w:color w:val="1F4E79"/>
          <w:sz w:val="26"/>
        </w:rPr>
        <w:t>Question → Essay Map</w:t>
      </w:r>
    </w:p>
    <w:p w14:paraId="075569BE">
      <w:pPr>
        <w:pStyle w:val="23"/>
        <w:spacing w:after="0"/>
      </w:pPr>
      <w:r>
        <w:rPr>
          <w:b/>
          <w:color w:val="1F4E79"/>
          <w:sz w:val="19"/>
        </w:rPr>
        <w:t xml:space="preserve">Essay 1:  </w:t>
      </w:r>
      <w:r>
        <w:rPr>
          <w:sz w:val="19"/>
        </w:rPr>
        <w:t>Materiality &amp; jurisdictional error — 2025, 2022, 2020, 2019, 2013 (SZMDS), 2023 (no-materiality errors)</w:t>
      </w:r>
    </w:p>
    <w:p w14:paraId="0F055119">
      <w:pPr>
        <w:pStyle w:val="23"/>
        <w:spacing w:after="0"/>
      </w:pPr>
      <w:r>
        <w:rPr>
          <w:b/>
          <w:color w:val="1F4E79"/>
          <w:sz w:val="19"/>
        </w:rPr>
        <w:t xml:space="preserve">Essay 2:  </w:t>
      </w:r>
      <w:r>
        <w:rPr>
          <w:sz w:val="19"/>
        </w:rPr>
        <w:t>Indigenous peoples &amp; migrants — 2025 (institutional terra nullius), 2024</w:t>
      </w:r>
    </w:p>
    <w:p w14:paraId="6B8891DE">
      <w:pPr>
        <w:pStyle w:val="23"/>
        <w:spacing w:after="0"/>
      </w:pPr>
      <w:r>
        <w:rPr>
          <w:b/>
          <w:color w:val="1F4E79"/>
          <w:sz w:val="19"/>
        </w:rPr>
        <w:t xml:space="preserve">Essay 3:  </w:t>
      </w:r>
      <w:r>
        <w:rPr>
          <w:sz w:val="19"/>
        </w:rPr>
        <w:t>Adequacy of judicial review — 2025, 2024 (s 75(v)), 2016 (Quin &amp; individual justice)</w:t>
      </w:r>
    </w:p>
    <w:p w14:paraId="1E309102">
      <w:pPr>
        <w:pStyle w:val="23"/>
        <w:spacing w:after="0"/>
      </w:pPr>
      <w:r>
        <w:rPr>
          <w:b/>
          <w:color w:val="1F4E79"/>
          <w:sz w:val="19"/>
        </w:rPr>
        <w:t xml:space="preserve">Essay 4:  </w:t>
      </w:r>
      <w:r>
        <w:rPr>
          <w:sz w:val="19"/>
        </w:rPr>
        <w:t>Limits of JR: legality, merits &amp; materiality — 2024</w:t>
      </w:r>
    </w:p>
    <w:p w14:paraId="12F69BD1">
      <w:pPr>
        <w:pStyle w:val="23"/>
        <w:spacing w:after="0"/>
      </w:pPr>
      <w:r>
        <w:rPr>
          <w:b/>
          <w:color w:val="1F4E79"/>
          <w:sz w:val="19"/>
        </w:rPr>
        <w:t xml:space="preserve">Essay 5:  </w:t>
      </w:r>
      <w:r>
        <w:rPr>
          <w:sz w:val="19"/>
        </w:rPr>
        <w:t>Victorian Charter — 2024 (higher bar), 2023, 2022, 2014</w:t>
      </w:r>
    </w:p>
    <w:p w14:paraId="750B28B1">
      <w:pPr>
        <w:pStyle w:val="23"/>
        <w:spacing w:after="0"/>
      </w:pPr>
      <w:r>
        <w:rPr>
          <w:b/>
          <w:color w:val="1F4E79"/>
          <w:sz w:val="19"/>
        </w:rPr>
        <w:t xml:space="preserve">Essay 6:  </w:t>
      </w:r>
      <w:r>
        <w:rPr>
          <w:sz w:val="19"/>
        </w:rPr>
        <w:t>Ombudsman &amp; non-judicial accountability — 2021, 2020, 2018, 2013</w:t>
      </w:r>
    </w:p>
    <w:p w14:paraId="3C625565">
      <w:pPr>
        <w:pStyle w:val="23"/>
        <w:spacing w:after="0"/>
      </w:pPr>
      <w:r>
        <w:rPr>
          <w:b/>
          <w:color w:val="1F4E79"/>
          <w:sz w:val="19"/>
        </w:rPr>
        <w:t xml:space="preserve">Essay 7:  </w:t>
      </w:r>
      <w:r>
        <w:rPr>
          <w:sz w:val="19"/>
        </w:rPr>
        <w:t>Legal unreasonableness after Li — 2023, 2016, 2015</w:t>
      </w:r>
    </w:p>
    <w:p w14:paraId="7169FBA6">
      <w:pPr>
        <w:pStyle w:val="23"/>
        <w:spacing w:after="0"/>
      </w:pPr>
      <w:r>
        <w:rPr>
          <w:b/>
          <w:color w:val="1F4E79"/>
          <w:sz w:val="19"/>
        </w:rPr>
        <w:t xml:space="preserve">Essay 8:  </w:t>
      </w:r>
      <w:r>
        <w:rPr>
          <w:sz w:val="19"/>
        </w:rPr>
        <w:t>Statutory construction as the engine of JR — 2021</w:t>
      </w:r>
    </w:p>
    <w:p w14:paraId="4C9F203A">
      <w:pPr>
        <w:pStyle w:val="23"/>
        <w:spacing w:after="0"/>
      </w:pPr>
      <w:r>
        <w:rPr>
          <w:b/>
          <w:color w:val="1F4E79"/>
          <w:sz w:val="19"/>
        </w:rPr>
        <w:t xml:space="preserve">Essay 9:  </w:t>
      </w:r>
      <w:r>
        <w:rPr>
          <w:sz w:val="19"/>
        </w:rPr>
        <w:t>Procedural fairness, Kioa to Badari — 2022, 2012 (hearing rule)</w:t>
      </w:r>
    </w:p>
    <w:p w14:paraId="60C747E4">
      <w:pPr>
        <w:pStyle w:val="23"/>
        <w:spacing w:after="0"/>
      </w:pPr>
      <w:r>
        <w:rPr>
          <w:b/>
          <w:color w:val="1F4E79"/>
          <w:sz w:val="19"/>
        </w:rPr>
        <w:t xml:space="preserve">Essay 10:  </w:t>
      </w:r>
      <w:r>
        <w:rPr>
          <w:sz w:val="19"/>
        </w:rPr>
        <w:t>Separation of powers — 2020</w:t>
      </w:r>
    </w:p>
    <w:p w14:paraId="0EE575A7">
      <w:pPr>
        <w:pStyle w:val="23"/>
        <w:spacing w:after="0"/>
      </w:pPr>
      <w:r>
        <w:rPr>
          <w:b/>
          <w:color w:val="1F4E79"/>
          <w:sz w:val="19"/>
        </w:rPr>
        <w:t xml:space="preserve">Essay 11:  </w:t>
      </w:r>
      <w:r>
        <w:rPr>
          <w:sz w:val="19"/>
        </w:rPr>
        <w:t>ADJR, Bond &amp; the statutory gateways (with the ALA) — 2019, 2018, 2016, 2015, 2017 (ALA)</w:t>
      </w:r>
    </w:p>
    <w:p w14:paraId="657CAC6E">
      <w:pPr>
        <w:pStyle w:val="23"/>
        <w:spacing w:after="0"/>
      </w:pPr>
      <w:r>
        <w:rPr>
          <w:b/>
          <w:color w:val="1F4E79"/>
          <w:sz w:val="19"/>
        </w:rPr>
        <w:t xml:space="preserve">Essay 12:  </w:t>
      </w:r>
      <w:r>
        <w:rPr>
          <w:sz w:val="19"/>
        </w:rPr>
        <w:t>The right to reasons — 2019</w:t>
      </w:r>
    </w:p>
    <w:p w14:paraId="43E5A55D">
      <w:pPr>
        <w:pStyle w:val="23"/>
        <w:spacing w:after="0"/>
      </w:pPr>
      <w:r>
        <w:rPr>
          <w:b/>
          <w:color w:val="1F4E79"/>
          <w:sz w:val="19"/>
        </w:rPr>
        <w:t xml:space="preserve">Essay 13:  </w:t>
      </w:r>
      <w:r>
        <w:rPr>
          <w:sz w:val="19"/>
        </w:rPr>
        <w:t>JR, merits review &amp; Ombudsman compared — 2016, 2018 (who vs what); absorbs the untexted 2024 MR entry</w:t>
      </w:r>
    </w:p>
    <w:p w14:paraId="17CA5470">
      <w:pPr>
        <w:pStyle w:val="23"/>
        <w:spacing w:after="0"/>
      </w:pPr>
      <w:r>
        <w:rPr>
          <w:b/>
          <w:color w:val="1F4E79"/>
          <w:sz w:val="19"/>
        </w:rPr>
        <w:t xml:space="preserve">Essay 14:  </w:t>
      </w:r>
      <w:r>
        <w:rPr>
          <w:sz w:val="19"/>
        </w:rPr>
        <w:t>Standing &amp; justiciability — 2018, 2017 (technicalities)</w:t>
      </w:r>
    </w:p>
    <w:p w14:paraId="619D8023">
      <w:pPr>
        <w:pStyle w:val="23"/>
        <w:spacing w:after="0"/>
      </w:pPr>
      <w:r>
        <w:rPr>
          <w:b/>
          <w:color w:val="1F4E79"/>
          <w:sz w:val="19"/>
        </w:rPr>
        <w:t xml:space="preserve">Essay 15:  </w:t>
      </w:r>
      <w:r>
        <w:rPr>
          <w:sz w:val="19"/>
        </w:rPr>
        <w:t>Apprehended bias: realism &amp; Jia — 2017</w:t>
      </w:r>
    </w:p>
    <w:p w14:paraId="15F086C3">
      <w:pPr>
        <w:pStyle w:val="23"/>
        <w:spacing w:after="0"/>
      </w:pPr>
      <w:r>
        <w:rPr>
          <w:b/>
          <w:color w:val="1F4E79"/>
          <w:sz w:val="19"/>
        </w:rPr>
        <w:t xml:space="preserve">Essay 16:  </w:t>
      </w:r>
      <w:r>
        <w:rPr>
          <w:sz w:val="19"/>
        </w:rPr>
        <w:t>Privative clauses, S157/Kirk &amp; privatisation — 2017, 2014 (privative), 2014 (outsourcing)</w:t>
      </w:r>
    </w:p>
    <w:p w14:paraId="2DA3F776">
      <w:pPr>
        <w:pStyle w:val="23"/>
        <w:spacing w:after="0"/>
      </w:pPr>
      <w:r>
        <w:rPr>
          <w:b/>
          <w:color w:val="1F4E79"/>
          <w:sz w:val="19"/>
        </w:rPr>
        <w:t xml:space="preserve">Essay 17:  </w:t>
      </w:r>
      <w:r>
        <w:rPr>
          <w:sz w:val="19"/>
        </w:rPr>
        <w:t>The rule of law &amp; control of discretion (Kitto J, Ipec-Air) — 2021</w:t>
      </w:r>
    </w:p>
    <w:p w14:paraId="555D1F59">
      <w:pPr>
        <w:spacing w:before="120"/>
      </w:pPr>
      <w:r>
        <w:rPr>
          <w:i/>
          <w:color w:val="595959"/>
          <w:sz w:val="17"/>
        </w:rPr>
        <w:t>Note: every case cited is drawn from your seminar slides or notes (audited against an allow-list of both). The only exception is R v Anderson; Ex parte Ipec-Air, quoted in the 2021 question itself and used only in Essay 17. The compiled question list contains a '2024 MR' heading with no question text — flag for checking against the original paper.</w:t>
      </w:r>
    </w:p>
    <w:p w14:paraId="7553990F">
      <w:r>
        <w:br w:type="page"/>
      </w:r>
    </w:p>
    <w:p w14:paraId="4302C37A">
      <w:pPr>
        <w:pBdr>
          <w:bottom w:val="single" w:color="1F4E79" w:sz="8" w:space="4"/>
        </w:pBdr>
      </w:pPr>
      <w:r>
        <w:rPr>
          <w:b/>
          <w:color w:val="1F4E79"/>
          <w:sz w:val="32"/>
        </w:rPr>
        <w:t>How to Use These Model Essays</w:t>
      </w:r>
    </w:p>
    <w:p w14:paraId="4004467E">
      <w:pPr>
        <w:jc w:val="both"/>
      </w:pPr>
      <w:r>
        <w:t xml:space="preserve">Each essay follows the required method: a </w:t>
      </w:r>
      <w:r>
        <w:rPr>
          <w:b/>
        </w:rPr>
        <w:t>clear contention</w:t>
      </w:r>
      <w:r>
        <w:t xml:space="preserve"> stated at the outset; the </w:t>
      </w:r>
      <w:r>
        <w:rPr>
          <w:b/>
        </w:rPr>
        <w:t>case for</w:t>
      </w:r>
      <w:r>
        <w:t xml:space="preserve"> the proposition; the </w:t>
      </w:r>
      <w:r>
        <w:rPr>
          <w:b/>
        </w:rPr>
        <w:t>case against</w:t>
      </w:r>
      <w:r>
        <w:t xml:space="preserve">; and a </w:t>
      </w:r>
      <w:r>
        <w:rPr>
          <w:b/>
        </w:rPr>
        <w:t>reasoned preferred position</w:t>
      </w:r>
      <w:r>
        <w:t>. Each is written to 20-mark Part B scale (roughly 35–40 minutes' writing). A "Variants" note shows how to re-angle the same material to each year's phrasing. Authorities are drawn from the course materials; the handful flagged as enrichment should be verified before use.</w:t>
      </w:r>
    </w:p>
    <w:p w14:paraId="09C00D82">
      <w:r>
        <w:br w:type="page"/>
      </w:r>
    </w:p>
    <w:p w14:paraId="6203F937">
      <w:pPr>
        <w:pBdr>
          <w:bottom w:val="single" w:color="1F4E79" w:sz="8" w:space="4"/>
        </w:pBdr>
      </w:pPr>
      <w:r>
        <w:rPr>
          <w:b/>
          <w:color w:val="1F4E79"/>
          <w:sz w:val="32"/>
        </w:rPr>
        <w:t>Essay 1 — Materiality and Jurisdictional Error</w:t>
      </w:r>
    </w:p>
    <w:p w14:paraId="7C7C0E27">
      <w:r>
        <w:rPr>
          <w:i/>
          <w:color w:val="595959"/>
          <w:sz w:val="19"/>
        </w:rPr>
        <w:t>Covers: 2025 ("materiality has exacerbated the tension in the proper boundaries of judicial review"); 2022 (SZMTA (Notes) dissent — "wrong turn"); 2020 (to what extent do you agree with Nettle and Gordon JJ); 2019 (unpredictability of consequences-of-breach law); 2013 ("not every lapse in logic will give rise to jurisdictional error"); 2023 (some errors jurisdictional irrespective of effect).</w:t>
      </w:r>
    </w:p>
    <w:p w14:paraId="3EEDFBE5">
      <w:pPr>
        <w:jc w:val="both"/>
      </w:pPr>
      <w:r>
        <w:rPr>
          <w:b/>
        </w:rPr>
        <w:t>Contention.</w:t>
      </w:r>
      <w:r>
        <w:t xml:space="preserve"> The majority position — that most errors are jurisdictional only if material — is a defensible construction-based settlement, but Nettle and Gordon JJ's dissent in </w:t>
      </w:r>
      <w:r>
        <w:rPr>
          <w:i/>
        </w:rPr>
        <w:t>SZMTA</w:t>
      </w:r>
      <w:r>
        <w:t xml:space="preserve"> identifies a real cost: materiality relocates part of the lawfulness inquiry from the statute to the counterfactual judgment of the reviewing court, and to that extent the boundaries of judicial review have genuinely been strained. The preferred view is that </w:t>
      </w:r>
      <w:r>
        <w:rPr>
          <w:i/>
        </w:rPr>
        <w:t>LPDT (Sem 11–12)</w:t>
      </w:r>
      <w:r>
        <w:t xml:space="preserve"> has now stabilised the doctrine and answered the worst of the dissent's objections, so the "wrong turn" charge ultimately fails — but only narrowly.</w:t>
      </w:r>
    </w:p>
    <w:p w14:paraId="1C07A123">
      <w:pPr>
        <w:jc w:val="both"/>
      </w:pPr>
      <w:r>
        <w:rPr>
          <w:b/>
        </w:rPr>
        <w:t>The case for the majority position.</w:t>
      </w:r>
      <w:r>
        <w:t xml:space="preserve"> Materiality is anchored in statutory construction, the orthodox foundation of jurisdictional error: a statute is "ordinarily to be interpreted as incorporating a threshold of materiality" because it is unlikely that Parliament intended decisions to be invalidated by errors that could not realistically have changed anything (</w:t>
      </w:r>
      <w:r>
        <w:rPr>
          <w:i/>
        </w:rPr>
        <w:t>Hossain (Notes)</w:t>
      </w:r>
      <w:r>
        <w:t xml:space="preserve">; </w:t>
      </w:r>
      <w:r>
        <w:rPr>
          <w:i/>
        </w:rPr>
        <w:t>SZMTA</w:t>
      </w:r>
      <w:r>
        <w:t xml:space="preserve">, majority; confirmed in </w:t>
      </w:r>
      <w:r>
        <w:rPr>
          <w:i/>
        </w:rPr>
        <w:t>LPDT</w:t>
      </w:r>
      <w:r>
        <w:t xml:space="preserve"> (2024) 280 CLR 321). Jurisdictional error is "a breach of an express or implied condition of a statutory conferral of decision-making authority" (</w:t>
      </w:r>
      <w:r>
        <w:rPr>
          <w:i/>
        </w:rPr>
        <w:t>LPDT</w:t>
      </w:r>
      <w:r>
        <w:t xml:space="preserve">), so the materiality threshold is not judicial invention but an implication of the legislature's own intention — the same technique as </w:t>
      </w:r>
      <w:r>
        <w:rPr>
          <w:i/>
        </w:rPr>
        <w:t>Project Blue Sky (Sem 11 s9–11)</w:t>
      </w:r>
      <w:r>
        <w:t xml:space="preserve">'s question whether breach was intended to invalidate. It also serves remedial common sense: certiorari is discretionary, and relief that could change nothing is futile. </w:t>
      </w:r>
      <w:r>
        <w:rPr>
          <w:i/>
        </w:rPr>
        <w:t>LPDT</w:t>
      </w:r>
      <w:r>
        <w:t xml:space="preserve"> further disciplined the test: the threshold is "realistic possibility", a low bar; the onus dispute is reduced because the inquiry is backward-looking, "answered by reference to the decision that was made in fact"; and a category of errors — apprehended or actual bias and legal unreasonableness — never requires a separate materiality inquiry because such errors deprive the decision of a quality the statute demands regardless of outcome (</w:t>
      </w:r>
      <w:r>
        <w:rPr>
          <w:i/>
        </w:rPr>
        <w:t>LPDT</w:t>
      </w:r>
      <w:r>
        <w:t xml:space="preserve"> [4]–[6]; the 2023 question states exactly this).</w:t>
      </w:r>
    </w:p>
    <w:p w14:paraId="75AB7048">
      <w:pPr>
        <w:jc w:val="both"/>
      </w:pPr>
      <w:r>
        <w:rPr>
          <w:b/>
        </w:rPr>
        <w:t>The case against (Nettle and Gordon JJ).</w:t>
      </w:r>
      <w:r>
        <w:t xml:space="preserve"> The dissent's three objections are formidable. First, principle: a person "is entitled to... a decision made under, and in accordance with, the terms of the statute, not the terms of the statute subject to some level of materiality" — materiality dilutes the legislature's own conditions. Secondly, institutional integrity: requiring the applicant to prove the decision could have been different invites the court to reconstruct the decision-making — "a form of merits review" that would "fundamentally change the nature of judicial review", trespassing on the legality/merits line drawn in </w:t>
      </w:r>
      <w:r>
        <w:rPr>
          <w:i/>
        </w:rPr>
        <w:t>Quin (Sem 21 s9)</w:t>
      </w:r>
      <w:r>
        <w:t xml:space="preserve">. Thirdly, incentive and onus: the burden falls on the person wronged, who must speculate about an administrative process they did not control; </w:t>
      </w:r>
      <w:r>
        <w:rPr>
          <w:i/>
        </w:rPr>
        <w:t>Nathanson (Sem 13 s16–17)</w:t>
      </w:r>
      <w:r>
        <w:t xml:space="preserve"> shows how close this comes to re-running the hearing (saved there only by Gageler J's reminder that the opportunity to be heard matters most where it is assumed nothing could have been said). The 2019 charge of unpredictability also bites here: when everything turns on implication-by-construction, like cases can be decided unlike.</w:t>
      </w:r>
    </w:p>
    <w:p w14:paraId="542A897D">
      <w:pPr>
        <w:jc w:val="both"/>
      </w:pPr>
      <w:r>
        <w:rPr>
          <w:b/>
        </w:rPr>
        <w:t>Preferred position.</w:t>
      </w:r>
      <w:r>
        <w:t xml:space="preserve"> The majority view, as consolidated in </w:t>
      </w:r>
      <w:r>
        <w:rPr>
          <w:i/>
        </w:rPr>
        <w:t>LPDT</w:t>
      </w:r>
      <w:r>
        <w:t xml:space="preserve">, should be preferred — but for reasons that concede much to the dissent. The dissent is right that materiality involves the court in counterfactual judgment; </w:t>
      </w:r>
      <w:r>
        <w:rPr>
          <w:i/>
        </w:rPr>
        <w:t>LPDT</w:t>
      </w:r>
      <w:r>
        <w:t xml:space="preserve"> answers this not by denying it but by domesticating it: a deliberately low "realistic possibility" threshold, a backward-looking factual inquiry rather than speculative reconstruction, and the carve-out for errors (bias, unreasonableness) where the statute's demand is unconditional. </w:t>
      </w:r>
      <w:r>
        <w:rPr>
          <w:i/>
        </w:rPr>
        <w:t>SZMDS (Sem 20 s7–11)</w:t>
      </w:r>
      <w:r>
        <w:t xml:space="preserve">'s caution that "not every lapse in logic will give rise to jurisdictional error" reflects the same impulse on the irrationality ground: review polices the boundaries of authority, not the quality of reasoning as such. What remains of the critique is real but tolerable: a residue of unpredictability inherent in any construction-based doctrine, and a modest evidential burden on applicants. On balance, materiality is better understood not as a wrong turn but as the price of taking </w:t>
      </w:r>
      <w:r>
        <w:rPr>
          <w:i/>
        </w:rPr>
        <w:t>Project Blue Sky</w:t>
      </w:r>
      <w:r>
        <w:t xml:space="preserve"> seriously — Parliament's intention governs not only what conditions exist, but what follows from their breach.</w:t>
      </w:r>
    </w:p>
    <w:p w14:paraId="39E0A8F5">
      <w:pPr>
        <w:jc w:val="both"/>
      </w:pPr>
      <w:r>
        <w:rPr>
          <w:b/>
        </w:rPr>
        <w:t>Variants.</w:t>
      </w:r>
      <w:r>
        <w:t xml:space="preserve"> For 2025 ("exacerbated the tension in the proper boundaries"), lead with the </w:t>
      </w:r>
      <w:r>
        <w:rPr>
          <w:i/>
        </w:rPr>
        <w:t>Quin</w:t>
      </w:r>
      <w:r>
        <w:t xml:space="preserve"> boundary and present materiality as managed strain rather than rupture. For 2020/2022, structure expressly around the </w:t>
      </w:r>
      <w:r>
        <w:rPr>
          <w:i/>
        </w:rPr>
        <w:t>SZMTA</w:t>
      </w:r>
      <w:r>
        <w:t xml:space="preserve"> majority/minority exchange. For 2019, foreground </w:t>
      </w:r>
      <w:r>
        <w:rPr>
          <w:i/>
        </w:rPr>
        <w:t>Project Blue Sky</w:t>
      </w:r>
      <w:r>
        <w:t xml:space="preserve"> and </w:t>
      </w:r>
      <w:r>
        <w:rPr>
          <w:i/>
        </w:rPr>
        <w:t>Bhardwaj (Sem 11 s12–13)</w:t>
      </w:r>
      <w:r>
        <w:t xml:space="preserve"> and argue stability has improved post-</w:t>
      </w:r>
      <w:r>
        <w:rPr>
          <w:i/>
        </w:rPr>
        <w:t>LPDT</w:t>
      </w:r>
      <w:r>
        <w:t xml:space="preserve">. For 2013, centre </w:t>
      </w:r>
      <w:r>
        <w:rPr>
          <w:i/>
        </w:rPr>
        <w:t>SZMDS</w:t>
      </w:r>
      <w:r>
        <w:t xml:space="preserve"> (two approaches: Crennan and Bell JJ's "open on the evidence" test versus Gummow A-CJ and Kiefel J's process-focused logicality) and connect to the later materiality settlement.</w:t>
      </w:r>
    </w:p>
    <w:p w14:paraId="28056020">
      <w:r>
        <w:br w:type="page"/>
      </w:r>
    </w:p>
    <w:p w14:paraId="0F183998">
      <w:pPr>
        <w:pBdr>
          <w:bottom w:val="single" w:color="1F4E79" w:sz="8" w:space="4"/>
        </w:pBdr>
      </w:pPr>
      <w:r>
        <w:rPr>
          <w:b/>
          <w:color w:val="1F4E79"/>
          <w:sz w:val="32"/>
        </w:rPr>
        <w:t>Essay 2 — Indigenous Peoples, Migrants and Administrative Power</w:t>
      </w:r>
    </w:p>
    <w:p w14:paraId="2538A49A">
      <w:r>
        <w:rPr>
          <w:i/>
          <w:color w:val="595959"/>
          <w:sz w:val="19"/>
        </w:rPr>
        <w:t>Covers: 2025 ("institutional terra nullius"); 2024 ("Indigenous Australians and migrants are especially disserved by existing doctrines").</w:t>
      </w:r>
    </w:p>
    <w:p w14:paraId="736402C2">
      <w:pPr>
        <w:jc w:val="both"/>
      </w:pPr>
      <w:r>
        <w:rPr>
          <w:b/>
        </w:rPr>
        <w:t>Contention.</w:t>
      </w:r>
      <w:r>
        <w:t xml:space="preserve"> The proposition is substantially correct: the structural features of Australian administrative law — its statutory positivism, deference to executive evaluation, and remedial formalism — bear hardest on those most exposed to discretionary power and least able to invoke it. But the critique must be qualified: the same body of doctrine has also produced some of the most significant vindications of Indigenous and migrant interests, and the deficiency lies less in judicial review's design than in what it was never designed to do.</w:t>
      </w:r>
    </w:p>
    <w:p w14:paraId="231AF829">
      <w:pPr>
        <w:jc w:val="both"/>
      </w:pPr>
      <w:r>
        <w:rPr>
          <w:b/>
        </w:rPr>
        <w:t>The case for the proposition.</w:t>
      </w:r>
      <w:r>
        <w:t xml:space="preserve"> The migration jurisdiction supplies the starkest evidence. The most aggressive privative clause litigated in Australia was a migration provision (</w:t>
      </w:r>
      <w:r>
        <w:rPr>
          <w:i/>
        </w:rPr>
        <w:t>Plaintiff S157 (Sem 23 s8–10)</w:t>
      </w:r>
      <w:r>
        <w:t>); materiality doctrine itself was forged almost entirely in migration appeals (</w:t>
      </w:r>
      <w:r>
        <w:rPr>
          <w:i/>
        </w:rPr>
        <w:t>Hossain; SZMTA; Nathanson; LPDT (Sem 11–12)</w:t>
      </w:r>
      <w:r>
        <w:t xml:space="preserve">), meaning the doctrinal "price" of error falls disproportionately on visa applicants; and the high thresholds of </w:t>
      </w:r>
      <w:r>
        <w:rPr>
          <w:i/>
        </w:rPr>
        <w:t>SZMDS (Sem 20 s7–11)</w:t>
      </w:r>
      <w:r>
        <w:t xml:space="preserve"> irrationality and </w:t>
      </w:r>
      <w:r>
        <w:rPr>
          <w:i/>
        </w:rPr>
        <w:t>SZVFW (Sem 21 s9)</w:t>
      </w:r>
      <w:r>
        <w:t xml:space="preserve"> unreasonableness operate in a context of acute vulnerability, language barriers and credibility assessment — where, as Gageler J observed in </w:t>
      </w:r>
      <w:r>
        <w:rPr>
          <w:i/>
        </w:rPr>
        <w:t>Nathanson</w:t>
      </w:r>
      <w:r>
        <w:t xml:space="preserve">, the danger is assuming nothing the person said could have mattered. For Indigenous peoples, the record discloses a different pathology: executive power exercised </w:t>
      </w:r>
      <w:r>
        <w:rPr>
          <w:i/>
        </w:rPr>
        <w:t>about</w:t>
      </w:r>
      <w:r>
        <w:t xml:space="preserve"> them with consideration obligations honoured thinly. </w:t>
      </w:r>
      <w:r>
        <w:rPr>
          <w:i/>
        </w:rPr>
        <w:t>Peko-Wallsend (Sem 17 s14–16)</w:t>
      </w:r>
      <w:r>
        <w:t xml:space="preserve"> required the Minister to consider the most recent and accurate information about Aboriginal land claims precisely because the department had failed to; </w:t>
      </w:r>
      <w:r>
        <w:rPr>
          <w:i/>
        </w:rPr>
        <w:t>Tickner (Sem 17 s17–19) v Chapman</w:t>
      </w:r>
      <w:r>
        <w:t xml:space="preserve"> demanded an "active intellectual process" because the Minister had not read the representations protecting Ngarrindjeri heritage; </w:t>
      </w:r>
      <w:r>
        <w:rPr>
          <w:i/>
        </w:rPr>
        <w:t>R v Toohey (Sem 17 s7–8)</w:t>
      </w:r>
      <w:r>
        <w:t xml:space="preserve"> concerned executive power deployed to defeat an Aboriginal land claim. That these are the canonical authorities is itself the indictment: the leading cases on ignored considerations are cases about ignoring Indigenous voices — a doctrinal echo of what the 2025 question calls "institutional terra nullius". Standing doctrine adds a layer: </w:t>
      </w:r>
      <w:r>
        <w:rPr>
          <w:i/>
        </w:rPr>
        <w:t>Onus (Sem 9 s6–8) v Alcoa</w:t>
      </w:r>
      <w:r>
        <w:t xml:space="preserve"> succeeded, but only by establishing a "special interest" exceptional to the general rule that cultural concern is insufficient (</w:t>
      </w:r>
      <w:r>
        <w:rPr>
          <w:i/>
        </w:rPr>
        <w:t>ACF (Sem 9 s5–6)</w:t>
      </w:r>
      <w:r>
        <w:t>).</w:t>
      </w:r>
    </w:p>
    <w:p w14:paraId="3B86D1ED">
      <w:pPr>
        <w:jc w:val="both"/>
      </w:pPr>
      <w:r>
        <w:rPr>
          <w:b/>
        </w:rPr>
        <w:t>The case against.</w:t>
      </w:r>
      <w:r>
        <w:t xml:space="preserve"> The same cases read the other way. </w:t>
      </w:r>
      <w:r>
        <w:rPr>
          <w:i/>
        </w:rPr>
        <w:t>Peko-Wallsend</w:t>
      </w:r>
      <w:r>
        <w:t xml:space="preserve">, </w:t>
      </w:r>
      <w:r>
        <w:rPr>
          <w:i/>
        </w:rPr>
        <w:t>Tickner</w:t>
      </w:r>
      <w:r>
        <w:t xml:space="preserve">, </w:t>
      </w:r>
      <w:r>
        <w:rPr>
          <w:i/>
        </w:rPr>
        <w:t>Toohey</w:t>
      </w:r>
      <w:r>
        <w:t xml:space="preserve"> and </w:t>
      </w:r>
      <w:r>
        <w:rPr>
          <w:i/>
        </w:rPr>
        <w:t>Onus</w:t>
      </w:r>
      <w:r>
        <w:t xml:space="preserve"> are victories: the grounds proved capable of compelling attention to Indigenous interests, and </w:t>
      </w:r>
      <w:r>
        <w:rPr>
          <w:i/>
        </w:rPr>
        <w:t>Kioa (Sem 13 s8–10)</w:t>
      </w:r>
      <w:r>
        <w:t xml:space="preserve"> itself — the foundation of modern procedural fairness — vindicated a migrant facing deportation, as did </w:t>
      </w:r>
      <w:r>
        <w:rPr>
          <w:i/>
        </w:rPr>
        <w:t>Saeed (Sem 13 s11–12)</w:t>
      </w:r>
      <w:r>
        <w:t xml:space="preserve">, </w:t>
      </w:r>
      <w:r>
        <w:rPr>
          <w:i/>
        </w:rPr>
        <w:t>WZARH (Sem 13 s13–15)</w:t>
      </w:r>
      <w:r>
        <w:t xml:space="preserve">, </w:t>
      </w:r>
      <w:r>
        <w:rPr>
          <w:i/>
        </w:rPr>
        <w:t>Nathanson</w:t>
      </w:r>
      <w:r>
        <w:t xml:space="preserve"> and </w:t>
      </w:r>
      <w:r>
        <w:rPr>
          <w:i/>
        </w:rPr>
        <w:t>Plaintiff M70 (Sem 20 s7–11)</w:t>
      </w:r>
      <w:r>
        <w:t xml:space="preserve"> (which stopped the "Malaysia Declaration" on jurisdictional-fact grounds). Section 75(v) has proved structurally incorruptible (</w:t>
      </w:r>
      <w:r>
        <w:rPr>
          <w:i/>
        </w:rPr>
        <w:t>Plaintiff S157</w:t>
      </w:r>
      <w:r>
        <w:t>), and it is migrants who have been its chief beneficiaries. On this view the doctrines are facially neutral; the disproportionate litigation burden reflects the volume and intrusiveness of the statutory schemes Parliament enacts, not bias within review doctrine — and the remedy lies with Parliament, the Ombudsman and merits review (the ART; formerly the AAT), not with reshaping judicial review.</w:t>
      </w:r>
    </w:p>
    <w:p w14:paraId="3CDF8733">
      <w:pPr>
        <w:jc w:val="both"/>
      </w:pPr>
      <w:r>
        <w:rPr>
          <w:b/>
        </w:rPr>
        <w:t>Preferred position.</w:t>
      </w:r>
      <w:r>
        <w:t xml:space="preserve"> The proposition should be accepted in qualified form. Judicial review has been an indispensable shield, but it is a shield with structural gaps that fall along predictable lines: it cannot question the merits (</w:t>
      </w:r>
      <w:r>
        <w:rPr>
          <w:i/>
        </w:rPr>
        <w:t>Quin (Sem 21 s9)</w:t>
      </w:r>
      <w:r>
        <w:t>); it polices consideration but not empathy or weight (</w:t>
      </w:r>
      <w:r>
        <w:rPr>
          <w:i/>
        </w:rPr>
        <w:t>Peko-Wallsend</w:t>
      </w:r>
      <w:r>
        <w:t>); its remedies return the decision to the same repository (</w:t>
      </w:r>
      <w:r>
        <w:rPr>
          <w:i/>
        </w:rPr>
        <w:t>Bhardwaj (Sem 11 s12–13)</w:t>
      </w:r>
      <w:r>
        <w:t xml:space="preserve"> logic); standing and special-interest rules discount communal and cultural injury (</w:t>
      </w:r>
      <w:r>
        <w:rPr>
          <w:i/>
        </w:rPr>
        <w:t>ACF</w:t>
      </w:r>
      <w:r>
        <w:t>/</w:t>
      </w:r>
      <w:r>
        <w:rPr>
          <w:i/>
        </w:rPr>
        <w:t>Onus</w:t>
      </w:r>
      <w:r>
        <w:t>); and materiality now asks the excluded to prove that inclusion could have mattered. Those gaps are facially neutral but not neutrally distributed. The honest conclusion is that Indigenous peoples and migrants are disserved less by the doctrines' terms than by their limits — and that filling the gap is the work of the legislature, charters of rights, and the non-judicial integrity institutions, as much as of the courts.</w:t>
      </w:r>
    </w:p>
    <w:p w14:paraId="4A0CE048">
      <w:pPr>
        <w:jc w:val="both"/>
      </w:pPr>
      <w:r>
        <w:rPr>
          <w:b/>
        </w:rPr>
        <w:t>Variants.</w:t>
      </w:r>
      <w:r>
        <w:t xml:space="preserve"> For 2025, anchor the "narrative of exclusion" in </w:t>
      </w:r>
      <w:r>
        <w:rPr>
          <w:i/>
        </w:rPr>
        <w:t>Toohey</w:t>
      </w:r>
      <w:r>
        <w:t xml:space="preserve">, </w:t>
      </w:r>
      <w:r>
        <w:rPr>
          <w:i/>
        </w:rPr>
        <w:t>Tickner</w:t>
      </w:r>
      <w:r>
        <w:t xml:space="preserve"> and </w:t>
      </w:r>
      <w:r>
        <w:rPr>
          <w:i/>
        </w:rPr>
        <w:t>Onus</w:t>
      </w:r>
      <w:r>
        <w:t xml:space="preserve"> and engage the "terra nullius" metaphor directly — the executive treating the Indigenous interest as an empty field. For 2024, give migrants equal billing through the </w:t>
      </w:r>
      <w:r>
        <w:rPr>
          <w:i/>
        </w:rPr>
        <w:t>Kioa</w:t>
      </w:r>
      <w:r>
        <w:t>–</w:t>
      </w:r>
      <w:r>
        <w:rPr>
          <w:i/>
        </w:rPr>
        <w:t>LPDT</w:t>
      </w:r>
      <w:r>
        <w:t xml:space="preserve"> line.</w:t>
      </w:r>
    </w:p>
    <w:p w14:paraId="718751E2">
      <w:r>
        <w:br w:type="page"/>
      </w:r>
    </w:p>
    <w:p w14:paraId="394EB70B">
      <w:pPr>
        <w:pBdr>
          <w:bottom w:val="single" w:color="1F4E79" w:sz="8" w:space="4"/>
        </w:pBdr>
      </w:pPr>
      <w:r>
        <w:rPr>
          <w:b/>
          <w:color w:val="1F4E79"/>
          <w:sz w:val="32"/>
        </w:rPr>
        <w:t>Essay 3 — The Adequacy of Judicial Review in Protecting Individuals</w:t>
      </w:r>
    </w:p>
    <w:p w14:paraId="680A6ADE">
      <w:r>
        <w:rPr>
          <w:i/>
          <w:color w:val="595959"/>
          <w:sz w:val="19"/>
        </w:rPr>
        <w:t>Covers: 2025 ("can common law judicial review adequately protect individuals from harm by the executive"); 2024 ("does judicial review under s 75(v) ensure adequate accountability and protection"); 2016 (Brennan J in Quin (Sem 21 s9) — justice in the individual case).</w:t>
      </w:r>
    </w:p>
    <w:p w14:paraId="5C911985">
      <w:pPr>
        <w:jc w:val="both"/>
      </w:pPr>
      <w:r>
        <w:rPr>
          <w:b/>
        </w:rPr>
        <w:t>Contention.</w:t>
      </w:r>
      <w:r>
        <w:t xml:space="preserve"> Judicial review cannot, and does not pretend to, adequately protect individuals from executive harm — and that is by design. Its constitutional function is to enforce the limits of power, with individual justice an "occasional consequence" (</w:t>
      </w:r>
      <w:r>
        <w:rPr>
          <w:i/>
        </w:rPr>
        <w:t>Quin</w:t>
      </w:r>
      <w:r>
        <w:t>). Adequacy therefore has to be assessed at the level of the system: judicial review is the indispensable but deliberately incomplete core of a larger accountability architecture.</w:t>
      </w:r>
    </w:p>
    <w:p w14:paraId="09605D5C">
      <w:pPr>
        <w:jc w:val="both"/>
      </w:pPr>
      <w:r>
        <w:rPr>
          <w:b/>
        </w:rPr>
        <w:t>The case that protection is adequate.</w:t>
      </w:r>
      <w:r>
        <w:t xml:space="preserve"> Three features give review real protective force. First, </w:t>
      </w:r>
      <w:r>
        <w:rPr>
          <w:i/>
        </w:rPr>
        <w:t>entrenchment</w:t>
      </w:r>
      <w:r>
        <w:t xml:space="preserve">: s 75(v) (and, for the States, the supervisory jurisdiction confirmed in </w:t>
      </w:r>
      <w:r>
        <w:rPr>
          <w:i/>
        </w:rPr>
        <w:t>Kirk (Sem 23 s11–12)</w:t>
      </w:r>
      <w:r>
        <w:t>) cannot be removed by Parliament, so a minimum of judicially enforceable legality survives even the most determined privative clause (</w:t>
      </w:r>
      <w:r>
        <w:rPr>
          <w:i/>
        </w:rPr>
        <w:t>Plaintiff S157 (Sem 23 s8–10)</w:t>
      </w:r>
      <w:r>
        <w:t xml:space="preserve">; </w:t>
      </w:r>
      <w:r>
        <w:rPr>
          <w:i/>
        </w:rPr>
        <w:t>Graham (Sem 23 s13–15)</w:t>
      </w:r>
      <w:r>
        <w:t xml:space="preserve">: Parliament cannot deny the court the ability to enforce the limits of an officer's power). Secondly, </w:t>
      </w:r>
      <w:r>
        <w:rPr>
          <w:i/>
        </w:rPr>
        <w:t>reach</w:t>
      </w:r>
      <w:r>
        <w:t>: the modern grounds protect interests, not just rights — procedural fairness presumptively attaches to any power apt to affect rights or interests adversely (</w:t>
      </w:r>
      <w:r>
        <w:rPr>
          <w:i/>
        </w:rPr>
        <w:t>Kioa (Sem 13 s8–10)</w:t>
      </w:r>
      <w:r>
        <w:t xml:space="preserve">; </w:t>
      </w:r>
      <w:r>
        <w:rPr>
          <w:i/>
        </w:rPr>
        <w:t>Badari (Sem 14 s6–9)</w:t>
      </w:r>
      <w:r>
        <w:t>), bias doctrine guards impartiality prophylactically (</w:t>
      </w:r>
      <w:r>
        <w:rPr>
          <w:i/>
        </w:rPr>
        <w:t>Ebner (Sem 15 s10–12)</w:t>
      </w:r>
      <w:r>
        <w:t>), and unreasonableness condemns decisions lacking evident and intelligible justification (</w:t>
      </w:r>
      <w:r>
        <w:rPr>
          <w:i/>
        </w:rPr>
        <w:t>Li</w:t>
      </w:r>
      <w:r>
        <w:t xml:space="preserve"> (Sem 21 s9–14)). Thirdly, </w:t>
      </w:r>
      <w:r>
        <w:rPr>
          <w:i/>
        </w:rPr>
        <w:t>practical efficacy</w:t>
      </w:r>
      <w:r>
        <w:t>: quashing and mandamus actually undo unlawful decisions (</w:t>
      </w:r>
      <w:r>
        <w:rPr>
          <w:i/>
        </w:rPr>
        <w:t>Bhardwaj (Sem 11 s12–13)</w:t>
      </w:r>
      <w:r>
        <w:t>: a decision affected by jurisdictional error is no decision at all), and the cases show individuals — often the least powerful — succeeding against the Commonwealth (</w:t>
      </w:r>
      <w:r>
        <w:rPr>
          <w:i/>
        </w:rPr>
        <w:t>Kioa; Aala; M70; Nathanson (Sem 13 s16–17)</w:t>
      </w:r>
      <w:r>
        <w:t>).</w:t>
      </w:r>
    </w:p>
    <w:p w14:paraId="47B7B19C">
      <w:pPr>
        <w:jc w:val="both"/>
      </w:pPr>
      <w:r>
        <w:rPr>
          <w:b/>
        </w:rPr>
        <w:t>The case that protection is inadequate.</w:t>
      </w:r>
      <w:r>
        <w:t xml:space="preserve"> The structural objections are equally real. Review is confined to legality: the court must not "trespass on the merits" (</w:t>
      </w:r>
      <w:r>
        <w:rPr>
          <w:i/>
        </w:rPr>
        <w:t>Quin</w:t>
      </w:r>
      <w:r>
        <w:t>), so a harsh, unwise or unjust decision that is lawful is untouchable — the gap the 2021 Ombudsman question calls "lawful but wrong". Its remedies are weak in personal terms: the matter is remitted to the same decision-maker, who may lawfully reach the same outcome; no damages flow from invalidity as such. Its thresholds are forbidding: unreasonableness is "necessarily stringent" (</w:t>
      </w:r>
      <w:r>
        <w:rPr>
          <w:i/>
        </w:rPr>
        <w:t>SZVFW (Sem 21 s9)</w:t>
      </w:r>
      <w:r>
        <w:t>), irrationality demands that no logical route led to the satisfaction (</w:t>
      </w:r>
      <w:r>
        <w:rPr>
          <w:i/>
        </w:rPr>
        <w:t>SZMDS (Sem 20 s7–11)</w:t>
      </w:r>
      <w:r>
        <w:t>), and materiality requires the applicant to show a realistic possibility of a different outcome (</w:t>
      </w:r>
      <w:r>
        <w:rPr>
          <w:i/>
        </w:rPr>
        <w:t>LPDT (Sem 11–12)</w:t>
      </w:r>
      <w:r>
        <w:t>). Its gateways exclude: standing demands a special interest (</w:t>
      </w:r>
      <w:r>
        <w:rPr>
          <w:i/>
        </w:rPr>
        <w:t>ACF (Sem 9 s5–6); Onus (Sem 9 s6–8)</w:t>
      </w:r>
      <w:r>
        <w:t>), and costs, delay and complexity make the Supreme Court or High Court a remote prospect for most people actually harmed by government. And it is reactive: review corrects single decisions after the fact; it cannot reform a defective administrative culture.</w:t>
      </w:r>
    </w:p>
    <w:p w14:paraId="642550B4">
      <w:pPr>
        <w:jc w:val="both"/>
      </w:pPr>
      <w:r>
        <w:rPr>
          <w:b/>
        </w:rPr>
        <w:t>Preferred position.</w:t>
      </w:r>
      <w:r>
        <w:t xml:space="preserve"> The honest answer is "adequate for its purpose; inadequate as the sole protection — and rightly so". Brennan J's framing in </w:t>
      </w:r>
      <w:r>
        <w:rPr>
          <w:i/>
        </w:rPr>
        <w:t>Quin</w:t>
      </w:r>
      <w:r>
        <w:t xml:space="preserve"> is not a confession of failure but a statement of constitutional role: under the separation of powers, the courts' legitimacy in declaring invalidity depends precisely on their </w:t>
      </w:r>
      <w:r>
        <w:rPr>
          <w:i/>
        </w:rPr>
        <w:t>not</w:t>
      </w:r>
      <w:r>
        <w:t xml:space="preserve"> re-deciding merits. The gap is real but is deliberately filled elsewhere: merits review (the ART/VCAT) supplies the "correct or preferable" decision standing in the shoes of the decision-maker (</w:t>
      </w:r>
      <w:r>
        <w:rPr>
          <w:i/>
        </w:rPr>
        <w:t>Drake (Sem 5 s9–13); Shi (Sem 5 s14–15)</w:t>
      </w:r>
      <w:r>
        <w:t>); the Ombudsman investigates defective administration beyond legality; reasons obligations (ADJR s 13; ART; ALA s 8) discipline decision-making before litigation; and the Victorian Charter adds a rights-compatibility obligation (s 38). Judicial review's adequacy should be judged as the keystone of that arch — irreplaceable (</w:t>
      </w:r>
      <w:r>
        <w:rPr>
          <w:i/>
        </w:rPr>
        <w:t>Kirk</w:t>
      </w:r>
      <w:r>
        <w:t xml:space="preserve">; </w:t>
      </w:r>
      <w:r>
        <w:rPr>
          <w:i/>
        </w:rPr>
        <w:t>S157</w:t>
      </w:r>
      <w:r>
        <w:t>) but never sufficient alone. The strongest version of the critique is therefore not that review fails at its task, but that access to it — cost, standing, complexity — undermines even the task it sets itself; that is where reform belongs.</w:t>
      </w:r>
    </w:p>
    <w:p w14:paraId="4986C3E2">
      <w:pPr>
        <w:jc w:val="both"/>
      </w:pPr>
      <w:r>
        <w:rPr>
          <w:b/>
        </w:rPr>
        <w:t>Variants.</w:t>
      </w:r>
      <w:r>
        <w:t xml:space="preserve"> For 2024 (s 75(v)-specific), foreground entrenchment, the </w:t>
      </w:r>
      <w:r>
        <w:rPr>
          <w:i/>
        </w:rPr>
        <w:t>Hickman (Sem 23 s9)/S157</w:t>
      </w:r>
      <w:r>
        <w:t xml:space="preserve"> construction technique, and </w:t>
      </w:r>
      <w:r>
        <w:rPr>
          <w:i/>
        </w:rPr>
        <w:t>Graham</w:t>
      </w:r>
      <w:r>
        <w:t xml:space="preserve">, and weigh them against the merits/remedies/access limits. For 2016, lead with the </w:t>
      </w:r>
      <w:r>
        <w:rPr>
          <w:i/>
        </w:rPr>
        <w:t>Quin</w:t>
      </w:r>
      <w:r>
        <w:t xml:space="preserve"> dictum itself — review "often does" remedy injustice, but that is "an occasional consequence", not the rationale, which is "simply to enforce obedience to the law" — then map the "other developments" limb across merits review, the Ombudsman, reasons obligations and the Charter.</w:t>
      </w:r>
    </w:p>
    <w:p w14:paraId="20CDC3DE">
      <w:r>
        <w:br w:type="page"/>
      </w:r>
    </w:p>
    <w:p w14:paraId="6D4F5C93">
      <w:pPr>
        <w:pBdr>
          <w:bottom w:val="single" w:color="1F4E79" w:sz="8" w:space="4"/>
        </w:pBdr>
      </w:pPr>
      <w:r>
        <w:rPr>
          <w:b/>
          <w:color w:val="1F4E79"/>
          <w:sz w:val="32"/>
        </w:rPr>
        <w:t>Essay 4 — The Limits of Judicial Review: Legality, Merits and Materiality</w:t>
      </w:r>
    </w:p>
    <w:p w14:paraId="460C4462">
      <w:r>
        <w:rPr>
          <w:i/>
          <w:color w:val="595959"/>
          <w:sz w:val="19"/>
        </w:rPr>
        <w:t>Covers: 2024 ("judicial review ought to be concerned strictly with lawfulness... rather than the relative significance of legal errors; when concerned with the latter, judicial review approaches merits review").</w:t>
      </w:r>
    </w:p>
    <w:p w14:paraId="7A4228F6">
      <w:pPr>
        <w:jc w:val="both"/>
      </w:pPr>
      <w:r>
        <w:rPr>
          <w:b/>
        </w:rPr>
        <w:t>Contention.</w:t>
      </w:r>
      <w:r>
        <w:t xml:space="preserve"> The proposition is half right. The legality/merits boundary is fundamental and constitutionally compelled — but the claim that weighing the "relative significance" of errors breaches the separation of powers misunderstands materiality: assessing whether breach of a statutory condition was intended to invalidate is itself an exercise in legality, not merits.</w:t>
      </w:r>
    </w:p>
    <w:p w14:paraId="458E2063">
      <w:pPr>
        <w:jc w:val="both"/>
      </w:pPr>
      <w:r>
        <w:rPr>
          <w:b/>
        </w:rPr>
        <w:t>The case for the proposition.</w:t>
      </w:r>
      <w:r>
        <w:t xml:space="preserve"> </w:t>
      </w:r>
      <w:r>
        <w:rPr>
          <w:i/>
        </w:rPr>
        <w:t>Quin (Sem 21 s9)</w:t>
      </w:r>
      <w:r>
        <w:t xml:space="preserve"> draws the line: the court's duty is to declare and enforce the law, "and no further"; the merits, "to the extent that they can be distinguished from legality", belong to the repository of the power. Materiality seems to cross that line: it asks the court to consider what the decision-maker </w:t>
      </w:r>
      <w:r>
        <w:rPr>
          <w:i/>
        </w:rPr>
        <w:t>would realistically have done</w:t>
      </w:r>
      <w:r>
        <w:t xml:space="preserve"> absent the error — a counterfactual evaluation of the decision-making process itself. Nettle and Gordon JJ in </w:t>
      </w:r>
      <w:r>
        <w:rPr>
          <w:i/>
        </w:rPr>
        <w:t>SZMTA (Notes)</w:t>
      </w:r>
      <w:r>
        <w:t xml:space="preserve"> made exactly this charge: requiring the applicant to prove the consequences of error "would become a form of merits review" and "fundamentally change the nature of judicial review". The separation-of-powers anxiety is genuine: a court that grades errors by significance looks like a court supervising quality, not legality.</w:t>
      </w:r>
    </w:p>
    <w:p w14:paraId="022F171A">
      <w:pPr>
        <w:jc w:val="both"/>
      </w:pPr>
      <w:r>
        <w:rPr>
          <w:b/>
        </w:rPr>
        <w:t>The case against.</w:t>
      </w:r>
      <w:r>
        <w:t xml:space="preserve"> The objection proves too much. The "relative significance" of an error has always been part of legality analysis: </w:t>
      </w:r>
      <w:r>
        <w:rPr>
          <w:i/>
        </w:rPr>
        <w:t>Project Blue Sky (Sem 11 s9–11)</w:t>
      </w:r>
      <w:r>
        <w:t xml:space="preserve"> asks whether Parliament intended breach of the particular condition to produce invalidity — necessarily a judgment about the provision's significance within the scheme; the discretion to refuse relief for futility (</w:t>
      </w:r>
      <w:r>
        <w:rPr>
          <w:i/>
        </w:rPr>
        <w:t>Enfield (Sem 8 s13)</w:t>
      </w:r>
      <w:r>
        <w:t xml:space="preserve"> line) has always involved asking whether the error could have mattered; and certiorari for non-jurisdictional error of law on the face of the record (</w:t>
      </w:r>
      <w:r>
        <w:rPr>
          <w:i/>
        </w:rPr>
        <w:t>Craig (Notes)</w:t>
      </w:r>
      <w:r>
        <w:t xml:space="preserve">) has always discriminated between errors that count and errors that do not. Materiality, as </w:t>
      </w:r>
      <w:r>
        <w:rPr>
          <w:i/>
        </w:rPr>
        <w:t>LPDT (Sem 11–12)</w:t>
      </w:r>
      <w:r>
        <w:t xml:space="preserve"> settles it, is statutory construction: the threshold exists because Parliament is taken not to intend invalidity for errors with no realistic possibility of affecting the outcome. The court is still measuring the decision against the statute — the </w:t>
      </w:r>
      <w:r>
        <w:rPr>
          <w:i/>
        </w:rPr>
        <w:t>Quin</w:t>
      </w:r>
      <w:r>
        <w:t xml:space="preserve"> task — not substituting its view of the correct outcome. And the doctrine itself preserves the boundary: where the statute's demand is unconditional (bias; unreasonableness), no materiality inquiry arises at all (</w:t>
      </w:r>
      <w:r>
        <w:rPr>
          <w:i/>
        </w:rPr>
        <w:t>LPDT</w:t>
      </w:r>
      <w:r>
        <w:t>).</w:t>
      </w:r>
    </w:p>
    <w:p w14:paraId="4A963D0A">
      <w:pPr>
        <w:jc w:val="both"/>
      </w:pPr>
      <w:r>
        <w:rPr>
          <w:b/>
        </w:rPr>
        <w:t>Preferred position.</w:t>
      </w:r>
      <w:r>
        <w:t xml:space="preserve"> The proposition should be rejected in its strong form but honoured in its caution. Materiality is legality work, done with construction tools, and </w:t>
      </w:r>
      <w:r>
        <w:rPr>
          <w:i/>
        </w:rPr>
        <w:t>LPDT</w:t>
      </w:r>
      <w:r>
        <w:t>'s backward-looking, low-threshold formulation keeps the counterfactual inquiry modest. But the caution earns its place: the more elaborately a court reconstructs what the decision-maker would have done, the closer it sails to the merits — which is why the threshold is "realistic possibility", not probability, and why the inquiry attends to the decision actually made rather than to an idealised re-decision. The separation of powers is maintained not by refusing to assess significance, but by the discipline with which significance is assessed.</w:t>
      </w:r>
    </w:p>
    <w:p w14:paraId="19061873">
      <w:pPr>
        <w:jc w:val="both"/>
      </w:pPr>
      <w:r>
        <w:rPr>
          <w:b/>
        </w:rPr>
        <w:t>Variants.</w:t>
      </w:r>
      <w:r>
        <w:t xml:space="preserve"> This essay pairs with Essay 1; for the 2024 phrasing, lead with </w:t>
      </w:r>
      <w:r>
        <w:rPr>
          <w:i/>
        </w:rPr>
        <w:t>Quin</w:t>
      </w:r>
      <w:r>
        <w:t xml:space="preserve"> and the separation of powers, and use Essay 1's materiality material as the second movement.</w:t>
      </w:r>
    </w:p>
    <w:p w14:paraId="40A0754F">
      <w:r>
        <w:br w:type="page"/>
      </w:r>
    </w:p>
    <w:p w14:paraId="518925D2">
      <w:pPr>
        <w:pBdr>
          <w:bottom w:val="single" w:color="1F4E79" w:sz="8" w:space="4"/>
        </w:pBdr>
      </w:pPr>
      <w:r>
        <w:rPr>
          <w:b/>
          <w:color w:val="1F4E79"/>
          <w:sz w:val="32"/>
        </w:rPr>
        <w:t>Essay 5 — The Victorian Charter and Judicial Review</w:t>
      </w:r>
    </w:p>
    <w:p w14:paraId="5EDDCD96">
      <w:r>
        <w:rPr>
          <w:i/>
          <w:color w:val="595959"/>
          <w:sz w:val="19"/>
        </w:rPr>
        <w:t>Covers: 2024 ("s 38(1) sets a higher standard than common law"); 2023 ("the Charter adds little to the Supreme Court's inherent jurisdiction"); 2022 ("no significant difference to the traditional grounds"); 2014 ("administrative law fails to ensure human-rights-compatible decision-making").</w:t>
      </w:r>
    </w:p>
    <w:p w14:paraId="7AA38AF5">
      <w:pPr>
        <w:jc w:val="both"/>
      </w:pPr>
      <w:r>
        <w:rPr>
          <w:b/>
        </w:rPr>
        <w:t>Contention.</w:t>
      </w:r>
      <w:r>
        <w:t xml:space="preserve"> The Charter adds something real but bounded: s 38(1) imposes obligations that are genuinely </w:t>
      </w:r>
      <w:r>
        <w:rPr>
          <w:i/>
        </w:rPr>
        <w:t>more demanding</w:t>
      </w:r>
      <w:r>
        <w:t xml:space="preserve"> than the common law grounds — but its remedial architecture (s 39 piggy-backing; no invalidity per </w:t>
      </w:r>
      <w:r>
        <w:rPr>
          <w:i/>
        </w:rPr>
        <w:t>Certain Children (Sem 18 s11–14)</w:t>
      </w:r>
      <w:r>
        <w:t>; no entitlement to damages, s 39(3)) means the addition is more behavioural than curial. "Adds little" is wrong as to standards and largely right as to remedies.</w:t>
      </w:r>
    </w:p>
    <w:p w14:paraId="16EC4D0C">
      <w:pPr>
        <w:jc w:val="both"/>
      </w:pPr>
      <w:r>
        <w:rPr>
          <w:b/>
        </w:rPr>
        <w:t>The case that the Charter adds little.</w:t>
      </w:r>
      <w:r>
        <w:t xml:space="preserve"> Three features support the sceptics. First, s 39's "piggy-backing" design: Charter unlawfulness can be raised only where the applicant already has an independent ground of relief — it confers no standalone cause of action (</w:t>
      </w:r>
      <w:r>
        <w:rPr>
          <w:i/>
        </w:rPr>
        <w:t>Bare (Sem 18 s7–10) v IBAC</w:t>
      </w:r>
      <w:r>
        <w:t>). Secondly, the consequence of breach is deliberately muted: breach of s 38(1) "does not of itself give rise to invalidity and... does not constitute jurisdictional error" (</w:t>
      </w:r>
      <w:r>
        <w:rPr>
          <w:i/>
        </w:rPr>
        <w:t>Certain Children (No 2)</w:t>
      </w:r>
      <w:r>
        <w:t>) — so a Charter win may produce a declaration and little more. Thirdly, much of s 38(1)'s work is replicated by the traditional grounds: failing to consider rights resembles failing to consider a relevant consideration (</w:t>
      </w:r>
      <w:r>
        <w:rPr>
          <w:i/>
        </w:rPr>
        <w:t>Peko-Wallsend (Sem 17 s14–16)</w:t>
      </w:r>
      <w:r>
        <w:t>); acting incompatibly with rights in a gross case will often be legally unreasonable (</w:t>
      </w:r>
      <w:r>
        <w:rPr>
          <w:i/>
        </w:rPr>
        <w:t>Li</w:t>
      </w:r>
      <w:r>
        <w:t xml:space="preserve"> (Sem 21 s9–14)); and s 38(2) excuses authorities who could not reasonably have acted differently under their statute — preserving primary legislation's primacy as </w:t>
      </w:r>
      <w:r>
        <w:rPr>
          <w:i/>
        </w:rPr>
        <w:t>Momcilovic (Sem 4 s9–12)</w:t>
      </w:r>
      <w:r>
        <w:t xml:space="preserve"> preserved it for s 32 interpretation.</w:t>
      </w:r>
    </w:p>
    <w:p w14:paraId="6D305898">
      <w:pPr>
        <w:jc w:val="both"/>
      </w:pPr>
      <w:r>
        <w:rPr>
          <w:b/>
        </w:rPr>
        <w:t>The case that the Charter adds much.</w:t>
      </w:r>
      <w:r>
        <w:t xml:space="preserve"> The standard is higher, and the cases say so expressly. Section 38(1) has </w:t>
      </w:r>
      <w:r>
        <w:rPr>
          <w:b/>
        </w:rPr>
        <w:t>two cumulative limbs — procedural and substantive</w:t>
      </w:r>
      <w:r>
        <w:t xml:space="preserve"> (Tate JA, </w:t>
      </w:r>
      <w:r>
        <w:rPr>
          <w:i/>
        </w:rPr>
        <w:t>Bare</w:t>
      </w:r>
      <w:r>
        <w:t xml:space="preserve"> (Sem 18 s8); </w:t>
      </w:r>
      <w:r>
        <w:rPr>
          <w:i/>
        </w:rPr>
        <w:t>Certain Children</w:t>
      </w:r>
      <w:r>
        <w:t xml:space="preserve"> (Sem 18 s12)). The procedural limb is a supplementary obligation that constrains the exercise of power (Tate JA, </w:t>
      </w:r>
      <w:r>
        <w:rPr>
          <w:i/>
        </w:rPr>
        <w:t>Bare</w:t>
      </w:r>
      <w:r>
        <w:t xml:space="preserve"> (Sem 18 s9)), and its content is the </w:t>
      </w:r>
      <w:r>
        <w:rPr>
          <w:b/>
        </w:rPr>
        <w:t>four-limb HJ test</w:t>
      </w:r>
      <w:r>
        <w:t>: (1) understand which rights may be affected and how; (2) seriously turn the mind to the impact on the affected person; (3) identify the countervailing interests; and (4) balance the competing interests (</w:t>
      </w:r>
      <w:r>
        <w:rPr>
          <w:i/>
        </w:rPr>
        <w:t>Thompson</w:t>
      </w:r>
      <w:r>
        <w:t xml:space="preserve"> (Sem 18 s18); summarised </w:t>
      </w:r>
      <w:r>
        <w:rPr>
          <w:i/>
        </w:rPr>
        <w:t>Bare; Certain Children; Thompson</w:t>
      </w:r>
      <w:r>
        <w:t xml:space="preserve"> at Sem 19 s8). That this exceeds the common law is stated in terms: "'proper'... must be higher than that generally applicable at common law" (</w:t>
      </w:r>
      <w:r>
        <w:rPr>
          <w:i/>
        </w:rPr>
        <w:t>Thompson</w:t>
      </w:r>
      <w:r>
        <w:t xml:space="preserve"> (Sem 18 s17)), with the court applying "a greater degree of scrutiny... than in a conventional judicial review proceeding" (</w:t>
      </w:r>
      <w:r>
        <w:rPr>
          <w:i/>
        </w:rPr>
        <w:t>Thompson</w:t>
      </w:r>
      <w:r>
        <w:t xml:space="preserve"> (Sem 18 s18)). The common law, by contrast, polices only whether a mandatory consideration was ignored and leaves weight to the decision-maker (</w:t>
      </w:r>
      <w:r>
        <w:rPr>
          <w:i/>
        </w:rPr>
        <w:t>Peko-Wallsend</w:t>
      </w:r>
      <w:r>
        <w:t xml:space="preserve"> (Sem 17 s14–16)). On the substantive limb, once a right is limited the </w:t>
      </w:r>
      <w:r>
        <w:rPr>
          <w:i/>
        </w:rPr>
        <w:t>onus shifts to the State</w:t>
      </w:r>
      <w:r>
        <w:t xml:space="preserve"> to show the limit is "demonstrably justified" under s 7(2) (nature of the right; purpose; extent; relationship to purpose), the court showing only limited deference (</w:t>
      </w:r>
      <w:r>
        <w:rPr>
          <w:i/>
        </w:rPr>
        <w:t>Certain Children</w:t>
      </w:r>
      <w:r>
        <w:t xml:space="preserve"> (Sem 18 s12–13); Sem 19 s9). Nothing in the traditional grounds reverses an onus or requires proportionality. And the Charter reframes who is accountable: "public authority" reaches functional, not merely institutional, government (s 4), addressing part of the privatisation gap.</w:t>
      </w:r>
    </w:p>
    <w:p w14:paraId="00C5B54E">
      <w:pPr>
        <w:jc w:val="both"/>
      </w:pPr>
      <w:r>
        <w:rPr>
          <w:b/>
        </w:rPr>
        <w:t>Preferred position.</w:t>
      </w:r>
      <w:r>
        <w:t xml:space="preserve"> Both halves of the debate are right about different things. As a standard of conduct, s 38(1) is a genuine ratchet: it requires a quality of engagement with the affected person's rights that </w:t>
      </w:r>
      <w:r>
        <w:rPr>
          <w:i/>
        </w:rPr>
        <w:t>Peko-Wallsend</w:t>
      </w:r>
      <w:r>
        <w:t xml:space="preserve"> never did, and s 7(2) subjects limitation to a justificatory discipline the common law lacks. As a source of curial outcomes, the Charter is deliberately weak: s 39 tethers it to existing grounds, </w:t>
      </w:r>
      <w:r>
        <w:rPr>
          <w:i/>
        </w:rPr>
        <w:t>Certain Children</w:t>
      </w:r>
      <w:r>
        <w:t xml:space="preserve"> denies it jurisdictional-error status. The preferred contention for the 2024 phrasing is therefore: the proposition is correct — s 38(1) does set a higher bar — while the 2022/2023 scepticism is best answered "true of remedies, false of obligations". The deeper point is that the Charter was designed to change administration, not litigation: a dialogue model in which the courts' contribution is declaratory and the real work is done inside public authorities.</w:t>
      </w:r>
    </w:p>
    <w:p w14:paraId="0D334692">
      <w:pPr>
        <w:jc w:val="both"/>
      </w:pPr>
      <w:r>
        <w:rPr>
          <w:b/>
        </w:rPr>
        <w:t>Variants.</w:t>
      </w:r>
      <w:r>
        <w:t xml:space="preserve"> For 2014, broaden: the common law protects rights only interstitially (the principle of legality; PF), merits review can consider rights, and the Charter is the structural answer — then assess its limits as above.</w:t>
      </w:r>
    </w:p>
    <w:p w14:paraId="3B35BB8D">
      <w:r>
        <w:br w:type="page"/>
      </w:r>
    </w:p>
    <w:p w14:paraId="48B72B41">
      <w:pPr>
        <w:pBdr>
          <w:bottom w:val="single" w:color="1F4E79" w:sz="8" w:space="4"/>
        </w:pBdr>
      </w:pPr>
      <w:r>
        <w:rPr>
          <w:b/>
          <w:color w:val="1F4E79"/>
          <w:sz w:val="32"/>
        </w:rPr>
        <w:t>Essay 6 — The Ombudsman and Non-Judicial Accountability</w:t>
      </w:r>
    </w:p>
    <w:p w14:paraId="5F056377">
      <w:r>
        <w:rPr>
          <w:i/>
          <w:color w:val="595959"/>
          <w:sz w:val="19"/>
        </w:rPr>
        <w:t>Covers: 2021 ("lawful doesn't mean it isn't wrong"); 2020 ("collaboration without capture"); 2018 (Ombudsman promotes fairness and dignity, "just as important" as judicial review); 2013 (McMillan — a new culture in public administration).</w:t>
      </w:r>
    </w:p>
    <w:p w14:paraId="108CF145">
      <w:pPr>
        <w:jc w:val="both"/>
      </w:pPr>
      <w:r>
        <w:rPr>
          <w:b/>
        </w:rPr>
        <w:t>Contention.</w:t>
      </w:r>
      <w:r>
        <w:t xml:space="preserve"> The Ombudsman is not a lesser substitute for judicial review but a different instrument aimed at a different failure: defective administration rather than unlawful administration. The "just as important" claim is therefore defensible — provided importance is measured by systemic effect on administrative culture rather than by coercive power, where the Ombudsman is deliberately weak.</w:t>
      </w:r>
    </w:p>
    <w:p w14:paraId="68282626">
      <w:pPr>
        <w:jc w:val="both"/>
      </w:pPr>
      <w:r>
        <w:rPr>
          <w:b/>
        </w:rPr>
        <w:t>The case for the Ombudsman's importance.</w:t>
      </w:r>
      <w:r>
        <w:t xml:space="preserve"> Judicial review's jurisdictional limit is the Ombudsman's starting point: a decision can be perfectly lawful yet "wrong" — harsh, mistaken on the facts, rude, slow, or simply unfair — and </w:t>
      </w:r>
      <w:r>
        <w:rPr>
          <w:i/>
        </w:rPr>
        <w:t>Quin (Sem 21 s9)</w:t>
      </w:r>
      <w:r>
        <w:t xml:space="preserve"> puts all of that beyond the courts. The Ombudsman investigates precisely that territory: action that is contrary to law, or unreasonable, unjust, oppressive or improperly discriminatory, or simply "wrong" (the grounds set out in the Ombudsman's enabling legislation), with recommendations rather than orders. Its comparative advantages are structural: it is free, informal and accessible (no standing rules, no costs risk — answering the access critique in Essay 3); it can investigate own-motion and systemically, addressing patterns rather than single decisions; it can look at merits, manners and maladministration alike; and its currency — publicity, parliamentary reporting, persuasion — produces the cultural change McMillan describes: three decades of administration "more attuned to the rights of the public". Neave's "collaboration without capture" captures the method: effectiveness depends on working relationships with agencies (collaboration) while preserving the independence that gives findings credibility (without capture) — an institutional analogue of the bias rule's insistence on both engagement and impartiality.</w:t>
      </w:r>
    </w:p>
    <w:p w14:paraId="7FB77B6B">
      <w:pPr>
        <w:jc w:val="both"/>
      </w:pPr>
      <w:r>
        <w:rPr>
          <w:b/>
        </w:rPr>
        <w:t>The case against.</w:t>
      </w:r>
      <w:r>
        <w:t xml:space="preserve"> The Ombudsman's weaknesses mirror its strengths. It cannot quash, compel or bind: where an agency digs in, the citizen still needs the courts (</w:t>
      </w:r>
      <w:r>
        <w:rPr>
          <w:i/>
        </w:rPr>
        <w:t>Bhardwaj (Sem 11 s12–13)</w:t>
      </w:r>
      <w:r>
        <w:t>-style nullity is available only judicially). Its independence is fragile in exactly the way Neave concedes — budgetary dependence, reliance on agency cooperation, and the risk that collaboration shades into capture; "resistance to oversight" is the norm Neave reports, not the exception. Its jurisdiction typically excludes ministers and policy, the very apex where the most consequential discretion sits. And its justice is administrative, not adjudicative: no hearing, no enforceable rights, outcomes contingent on goodwill. On this view the 2018 proposition overstates: the judge's writ runs whether government likes it or not (</w:t>
      </w:r>
      <w:r>
        <w:rPr>
          <w:i/>
        </w:rPr>
        <w:t>S157 (Sem 23 s8–10); Kirk (Sem 23 s11–12)</w:t>
      </w:r>
      <w:r>
        <w:t>); the Ombudsman's influence runs only as far as persuasion.</w:t>
      </w:r>
    </w:p>
    <w:p w14:paraId="52177561">
      <w:pPr>
        <w:jc w:val="both"/>
      </w:pPr>
      <w:r>
        <w:rPr>
          <w:b/>
        </w:rPr>
        <w:t>Preferred position.</w:t>
      </w:r>
      <w:r>
        <w:t xml:space="preserve"> The preferred view treats the comparison as a category error resolved by the system view: the rule of law requires both obedience to law (courts) and quality of administration (integrity bodies), and each institution is "most important" within its own register. The Ombudsman's lack of coercive power is not a defect but the condition of its access to government's inner workings — agencies open files to an investigator who recommends that they would resist with a litigant who demands. "Collaboration without capture" is thus the correct operating principle, but it must be underwritten by structural safeguards (tenure, parliamentary reporting lines, adequate funding) because capture is a standing risk, not a hypothetical. The 2021 proposition should be embraced: "lawful but wrong" is a real and large category, and recognising it is the strongest justification for a multi-institutional accountability system in which the Ombudsman, merits review and judicial review are complements, not rivals.</w:t>
      </w:r>
    </w:p>
    <w:p w14:paraId="63334C46">
      <w:pPr>
        <w:jc w:val="both"/>
      </w:pPr>
      <w:r>
        <w:rPr>
          <w:b/>
        </w:rPr>
        <w:t>Variants.</w:t>
      </w:r>
      <w:r>
        <w:t xml:space="preserve"> For 2020, organise around the Neave quotation: collaboration (effectiveness), capture (risk), and the administrative-law principles (accountability, transparency, fairness, rule of law) that the balance serves. For 2013, foreground McMillan's culture claim and evaluate with examples of systemic investigation; for 2018, run the judge/Ombudsman comparison front and centre with </w:t>
      </w:r>
      <w:r>
        <w:rPr>
          <w:i/>
        </w:rPr>
        <w:t>Quin</w:t>
      </w:r>
      <w:r>
        <w:t xml:space="preserve"> as the hinge.</w:t>
      </w:r>
    </w:p>
    <w:p w14:paraId="36D7DD94">
      <w:r>
        <w:br w:type="page"/>
      </w:r>
    </w:p>
    <w:p w14:paraId="1C031746">
      <w:pPr>
        <w:pBdr>
          <w:bottom w:val="single" w:color="1F4E79" w:sz="8" w:space="4"/>
        </w:pBdr>
      </w:pPr>
      <w:r>
        <w:rPr>
          <w:b/>
          <w:color w:val="1F4E79"/>
          <w:sz w:val="32"/>
        </w:rPr>
        <w:t>Essay 7 — Legal Unreasonableness after Li</w:t>
      </w:r>
    </w:p>
    <w:p w14:paraId="0FFEEE80">
      <w:r>
        <w:rPr>
          <w:i/>
          <w:color w:val="595959"/>
          <w:sz w:val="19"/>
        </w:rPr>
        <w:t>Covers: 2023 ("Li is irreconcilable with the merits/legality distinction in Quin (Sem 21 s9)"); 2016 ("does not depend on definitional formulae"); 2015 ("Li increased the risk that courts will be seen to be engaging with the merits").</w:t>
      </w:r>
    </w:p>
    <w:p w14:paraId="4FCCD03A">
      <w:pPr>
        <w:jc w:val="both"/>
      </w:pPr>
      <w:r>
        <w:rPr>
          <w:b/>
        </w:rPr>
        <w:t>Contention.</w:t>
      </w:r>
      <w:r>
        <w:t xml:space="preserve"> </w:t>
      </w:r>
      <w:r>
        <w:rPr>
          <w:i/>
        </w:rPr>
        <w:t>Li</w:t>
      </w:r>
      <w:r>
        <w:t xml:space="preserve"> (Sem 21 s9–14) loosened Wednesbury (Sem 21 s9)'s straitjacket without abandoning the </w:t>
      </w:r>
      <w:r>
        <w:rPr>
          <w:i/>
        </w:rPr>
        <w:t>Quin</w:t>
      </w:r>
      <w:r>
        <w:t xml:space="preserve"> boundary: "evident and intelligible justification" polices the rationality of the path to a decision, not the merits of its content. The risk of merits creep is real and acknowledged — but the post-</w:t>
      </w:r>
      <w:r>
        <w:rPr>
          <w:i/>
        </w:rPr>
        <w:t>Li</w:t>
      </w:r>
      <w:r>
        <w:t xml:space="preserve"> cases (</w:t>
      </w:r>
      <w:r>
        <w:rPr>
          <w:i/>
        </w:rPr>
        <w:t>SZVFW (Sem 21 s9); DUA16 (Sem 22 s7–8)</w:t>
      </w:r>
      <w:r>
        <w:t>) show the High Court actively disciplining the doctrine back within the boundary, so "irreconcilable" overstates.</w:t>
      </w:r>
    </w:p>
    <w:p w14:paraId="7050AF44">
      <w:pPr>
        <w:jc w:val="both"/>
      </w:pPr>
      <w:r>
        <w:rPr>
          <w:b/>
        </w:rPr>
        <w:t>The case that Li crossed the line.</w:t>
      </w:r>
      <w:r>
        <w:t xml:space="preserve"> Wednesbury demanded a decision "so unreasonable that no reasonable repository could have made it" — a formula whose very extremity guaranteed distance from the merits. </w:t>
      </w:r>
      <w:r>
        <w:rPr>
          <w:i/>
        </w:rPr>
        <w:t>Li</w:t>
      </w:r>
      <w:r>
        <w:t xml:space="preserve"> replaced certainty-by-absurdity with evaluative judgment: a decision lacking "an evident and intelligible justification" invites the court to assess the adequacy of justification, which is uncomfortably close to assessing quality; and where reasons are unexpressed, the court may </w:t>
      </w:r>
      <w:r>
        <w:rPr>
          <w:i/>
        </w:rPr>
        <w:t>infer</w:t>
      </w:r>
      <w:r>
        <w:t xml:space="preserve"> unreasonableness from outcome — reasoning from result, the signature of merits review. French CJ's invocation of disproportion, the plurality's resort to an area-of-decisional-freedom metaphor, and Gageler J's caution that the test remains "stringent", all betray the anxiety. The 2015 proposition that the "opening up" increased the </w:t>
      </w:r>
      <w:r>
        <w:rPr>
          <w:i/>
        </w:rPr>
        <w:t>perception</w:t>
      </w:r>
      <w:r>
        <w:t xml:space="preserve"> of merits engagement is on this view plainly right: perception follows method, and the method is now evaluative.</w:t>
      </w:r>
    </w:p>
    <w:p w14:paraId="1F407CC9">
      <w:pPr>
        <w:jc w:val="both"/>
      </w:pPr>
      <w:r>
        <w:rPr>
          <w:b/>
        </w:rPr>
        <w:t>The case that Li is reconcilable with Quin.</w:t>
      </w:r>
      <w:r>
        <w:t xml:space="preserve"> Three disciplines hold the line. </w:t>
      </w:r>
      <w:r>
        <w:rPr>
          <w:b/>
          <w:bCs/>
        </w:rPr>
        <w:t>First</w:t>
      </w:r>
      <w:r>
        <w:t>, the presumption frame: the legislature is taken to intend that a statutory discretion be exercised reasonably (</w:t>
      </w:r>
      <w:r>
        <w:rPr>
          <w:i/>
        </w:rPr>
        <w:t>Quin; Li; SZVFW</w:t>
      </w:r>
      <w:r>
        <w:t xml:space="preserve">) — so unreasonableness review is the enforcement of a statutory implication, squarely the </w:t>
      </w:r>
      <w:r>
        <w:rPr>
          <w:i/>
        </w:rPr>
        <w:t>Quin</w:t>
      </w:r>
      <w:r>
        <w:t xml:space="preserve"> task of policing limits. </w:t>
      </w:r>
      <w:r>
        <w:rPr>
          <w:b/>
          <w:bCs/>
        </w:rPr>
        <w:t>Secondly</w:t>
      </w:r>
      <w:r>
        <w:t>, the threshold: the test is "necessarily stringent" (</w:t>
      </w:r>
      <w:r>
        <w:rPr>
          <w:i/>
        </w:rPr>
        <w:t>SZVFW</w:t>
      </w:r>
      <w:r>
        <w:t xml:space="preserve">, Kiefel CJ), an appellate court must not substitute its own view of what is reasonable, and the standard is breached only where no intelligible path connects material to outcome — not where the court would have weighed things differently (weight remains for the decision-maker: </w:t>
      </w:r>
      <w:r>
        <w:rPr>
          <w:i/>
        </w:rPr>
        <w:t>Peko-Wallsend (Sem 17 s14–16)</w:t>
      </w:r>
      <w:r>
        <w:t xml:space="preserve">). </w:t>
      </w:r>
      <w:r>
        <w:rPr>
          <w:b/>
          <w:bCs/>
        </w:rPr>
        <w:t>Thirdly</w:t>
      </w:r>
      <w:r>
        <w:t xml:space="preserve">, the case law's own trajectory: </w:t>
      </w:r>
      <w:r>
        <w:rPr>
          <w:i/>
        </w:rPr>
        <w:t>SZVFW</w:t>
      </w:r>
      <w:r>
        <w:t xml:space="preserve"> reversed a judge who had treated his disagreement as unreasonableness; </w:t>
      </w:r>
      <w:r>
        <w:rPr>
          <w:i/>
        </w:rPr>
        <w:t>DUA16</w:t>
      </w:r>
      <w:r>
        <w:t xml:space="preserve"> declined to brand even a negligent agent-error context unreasonable in DUA16's own case while finding CHK16's clear; the doctrine condemns the </w:t>
      </w:r>
      <w:r>
        <w:rPr>
          <w:i/>
        </w:rPr>
        <w:t>unexplained and inexplicable</w:t>
      </w:r>
      <w:r>
        <w:t>, not the unattractive. The 2016 proposition supplies the jurisprudential key: unreasonableness is a conclusion, not a formula — "does not depend on definitional formulae" — an area-of-judgment concept whose content is supplied by the particular statute, which is why it cannot be reduced to, or impeached by, any single verbal test.</w:t>
      </w:r>
    </w:p>
    <w:p w14:paraId="25963DAF">
      <w:pPr>
        <w:jc w:val="both"/>
      </w:pPr>
      <w:r>
        <w:rPr>
          <w:b/>
        </w:rPr>
        <w:t>Preferred position.</w:t>
      </w:r>
      <w:r>
        <w:t xml:space="preserve"> </w:t>
      </w:r>
      <w:r>
        <w:rPr>
          <w:b/>
          <w:bCs/>
          <w:i/>
        </w:rPr>
        <w:t>Li</w:t>
      </w:r>
      <w:r>
        <w:rPr>
          <w:b/>
          <w:bCs/>
        </w:rPr>
        <w:t xml:space="preserve"> is best understood as relocating unreasonableness from absurdity to accountability-for-justification</w:t>
      </w:r>
      <w:r>
        <w:t xml:space="preserve">, while </w:t>
      </w:r>
      <w:r>
        <w:rPr>
          <w:i/>
        </w:rPr>
        <w:t>Quin</w:t>
      </w:r>
      <w:r>
        <w:t xml:space="preserve"> continues to mark the outer boundary. The reconciliation is achieved by the standard of review, not the standard of conduct: the question is never "was this decision right or wise" but "is there an intelligible justification within the statute's purposes" — and the High Court's post-</w:t>
      </w:r>
      <w:r>
        <w:rPr>
          <w:i/>
        </w:rPr>
        <w:t>Li</w:t>
      </w:r>
      <w:r>
        <w:t xml:space="preserve"> corrections show the boundary being enforced in practice. The honest concession to the 2015/2023 critiques is that the doctrine now requires judicial self-restraint as a virtue rather than guaranteeing it by formula; the safeguard is the stringency insisted on in </w:t>
      </w:r>
      <w:r>
        <w:rPr>
          <w:i/>
        </w:rPr>
        <w:t>SZVFW</w:t>
      </w:r>
      <w:r>
        <w:t xml:space="preserve"> and the refusal to find unreasonableness where reasons disclose a rational, if debatable, path. Properly applied, </w:t>
      </w:r>
      <w:r>
        <w:rPr>
          <w:i/>
        </w:rPr>
        <w:t>Li</w:t>
      </w:r>
      <w:r>
        <w:t xml:space="preserve"> is not irreconcilable with </w:t>
      </w:r>
      <w:r>
        <w:rPr>
          <w:i/>
        </w:rPr>
        <w:t>Quin</w:t>
      </w:r>
      <w:r>
        <w:t xml:space="preserve">; it is </w:t>
      </w:r>
      <w:r>
        <w:rPr>
          <w:i/>
        </w:rPr>
        <w:t>Quin</w:t>
      </w:r>
      <w:r>
        <w:t>'s implication — that power must stay within the limits Parliament intended — applied to the implied condition of reasonableness.</w:t>
      </w:r>
    </w:p>
    <w:p w14:paraId="6FC128BF">
      <w:pPr>
        <w:jc w:val="both"/>
      </w:pPr>
      <w:r>
        <w:rPr>
          <w:b/>
        </w:rPr>
        <w:t>Variants.</w:t>
      </w:r>
      <w:r>
        <w:t xml:space="preserve"> For 2016, lead with the "no definitional formulae" point and use Li/SZVFW/DUA16 as illustrations of context-specific application. For 2015, focus on perception versus doctrine and the post-Li disciplining cases.</w:t>
      </w:r>
    </w:p>
    <w:p w14:paraId="4848DB9E">
      <w:r>
        <w:br w:type="page"/>
      </w:r>
    </w:p>
    <w:p w14:paraId="1F280F87">
      <w:pPr>
        <w:pBdr>
          <w:bottom w:val="single" w:color="1F4E79" w:sz="8" w:space="4"/>
        </w:pBdr>
      </w:pPr>
      <w:r>
        <w:rPr>
          <w:b/>
          <w:color w:val="1F4E79"/>
          <w:sz w:val="32"/>
        </w:rPr>
        <w:t>Essay 8 — Statutory Construction as the Engine of Judicial Review</w:t>
      </w:r>
    </w:p>
    <w:p w14:paraId="3D7BBFDE">
      <w:r>
        <w:rPr>
          <w:i/>
          <w:color w:val="595959"/>
          <w:sz w:val="19"/>
        </w:rPr>
        <w:t>Covers: 2021 ("not everything required to supervise the legality of administrative power can be reduced to principles of statutory construction").</w:t>
      </w:r>
    </w:p>
    <w:p w14:paraId="534269DC">
      <w:pPr>
        <w:jc w:val="both"/>
      </w:pPr>
      <w:r>
        <w:rPr>
          <w:b/>
        </w:rPr>
        <w:t>Contention.</w:t>
      </w:r>
      <w:r>
        <w:t xml:space="preserve"> The proposition is correct but narrowly: construction is the dominant and legitimating technique of modern review — yet at least three load-bearing elements (the constitutional entrenchment of review itself, the common law's procedural-fairness presumptions, and equitable remedial discretion) cannot honestly be reduced to construction without fiction.</w:t>
      </w:r>
    </w:p>
    <w:p w14:paraId="2F984F91">
      <w:pPr>
        <w:jc w:val="both"/>
      </w:pPr>
      <w:r>
        <w:rPr>
          <w:b/>
        </w:rPr>
        <w:t>The case for construction's sufficiency.</w:t>
      </w:r>
      <w:r>
        <w:t xml:space="preserve"> The modern law systematically converts grounds into implications of the statute: jurisdictional error is breach of an "express or implied condition of the statutory conferral" (</w:t>
      </w:r>
      <w:r>
        <w:rPr>
          <w:i/>
        </w:rPr>
        <w:t>LPDT (Sem 11–12)</w:t>
      </w:r>
      <w:r>
        <w:t xml:space="preserve">); whether breach invalidates is the </w:t>
      </w:r>
      <w:r>
        <w:rPr>
          <w:i/>
        </w:rPr>
        <w:t>Project Blue Sky (Sem 11 s9–11)</w:t>
      </w:r>
      <w:r>
        <w:t xml:space="preserve"> purpose question; materiality is an implied threshold (</w:t>
      </w:r>
      <w:r>
        <w:rPr>
          <w:i/>
        </w:rPr>
        <w:t>Hossain (Notes)</w:t>
      </w:r>
      <w:r>
        <w:t>); reasonableness is an implied condition (</w:t>
      </w:r>
      <w:r>
        <w:rPr>
          <w:i/>
        </w:rPr>
        <w:t>Li; SZVFW (Sem 21 s9)</w:t>
      </w:r>
      <w:r>
        <w:t>); mandatory considerations are found in subject-matter, scope and purpose (</w:t>
      </w:r>
      <w:r>
        <w:rPr>
          <w:i/>
        </w:rPr>
        <w:t>Peko-Wallsend (Sem 17 s14–16)</w:t>
      </w:r>
      <w:r>
        <w:t>); jurisdictional facts are identified by construction (</w:t>
      </w:r>
      <w:r>
        <w:rPr>
          <w:i/>
        </w:rPr>
        <w:t>Enfield; M70 (Sem 20 s7–11)</w:t>
      </w:r>
      <w:r>
        <w:t>); procedural fairness applies subject to displacement by plain words (</w:t>
      </w:r>
      <w:r>
        <w:rPr>
          <w:i/>
        </w:rPr>
        <w:t>Saeed (Sem 13 s11–12); Badari (Sem 14 s6–9)</w:t>
      </w:r>
      <w:r>
        <w:t>); even privative clauses are dissolved by construction (</w:t>
      </w:r>
      <w:r>
        <w:rPr>
          <w:i/>
        </w:rPr>
        <w:t>Hickman; S157 (Sem 23 s8–10)</w:t>
      </w:r>
      <w:r>
        <w:t>). The attraction is constitutional legitimacy: if every ground is Parliament's implication, review never trespasses on merits (</w:t>
      </w:r>
      <w:r>
        <w:rPr>
          <w:i/>
        </w:rPr>
        <w:t>Quin (Sem 21 s9)</w:t>
      </w:r>
      <w:r>
        <w:t>) — the court only ever enforces the statute.</w:t>
      </w:r>
    </w:p>
    <w:p w14:paraId="080D6F0C">
      <w:pPr>
        <w:jc w:val="both"/>
      </w:pPr>
      <w:r>
        <w:rPr>
          <w:b/>
        </w:rPr>
        <w:t>The case against sufficiency.</w:t>
      </w:r>
      <w:r>
        <w:t xml:space="preserve"> First, the foundations are not statutory. Section 75(v) and the </w:t>
      </w:r>
      <w:r>
        <w:rPr>
          <w:i/>
        </w:rPr>
        <w:t>Kirk (Sem 23 s11–12)</w:t>
      </w:r>
      <w:r>
        <w:t xml:space="preserve"> principle entrench supervisory jurisdiction </w:t>
      </w:r>
      <w:r>
        <w:rPr>
          <w:i/>
        </w:rPr>
        <w:t>against</w:t>
      </w:r>
      <w:r>
        <w:t xml:space="preserve"> statutes; the technique that defeats privative clauses is construction in form but constitutional necessity in substance — the clause is read down because it </w:t>
      </w:r>
      <w:r>
        <w:rPr>
          <w:i/>
        </w:rPr>
        <w:t>must</w:t>
      </w:r>
      <w:r>
        <w:t xml:space="preserve"> be, not because Parliament meant it. Secondly, the common law supplies content that no realistic Parliament enacted: the "strong presumption" of procedural fairness (</w:t>
      </w:r>
      <w:r>
        <w:rPr>
          <w:i/>
        </w:rPr>
        <w:t>Badari; Kioa (Sem 13 s8–10)</w:t>
      </w:r>
      <w:r>
        <w:t>) and the bias rule (</w:t>
      </w:r>
      <w:r>
        <w:rPr>
          <w:i/>
        </w:rPr>
        <w:t>Ebner (Sem 15 s10–12)</w:t>
      </w:r>
      <w:r>
        <w:t xml:space="preserve">) are judicial creations attributed to legislative intention by courteous fiction — Parliament never "intended" the fair-minded lay observer. Thirdly, remedies: the discretion to refuse relief (delay, futility, third-party prejudice — </w:t>
      </w:r>
      <w:r>
        <w:rPr>
          <w:i/>
        </w:rPr>
        <w:t>Enfield</w:t>
      </w:r>
      <w:r>
        <w:t xml:space="preserve"> line) and the equitable remedies (injunction, declaration) operate on principles owing nothing to the particular statute. Fourthly, non-statutory executive power exists, and its supervision (justiciability of prerogative and contractual power) cannot be construction of an Act at all.</w:t>
      </w:r>
    </w:p>
    <w:p w14:paraId="102181ED">
      <w:pPr>
        <w:jc w:val="both"/>
      </w:pPr>
      <w:r>
        <w:rPr>
          <w:b/>
        </w:rPr>
        <w:t>Preferred position.</w:t>
      </w:r>
      <w:r>
        <w:t xml:space="preserve"> Construction is the </w:t>
      </w:r>
      <w:r>
        <w:rPr>
          <w:i/>
        </w:rPr>
        <w:t>grammar</w:t>
      </w:r>
      <w:r>
        <w:t xml:space="preserve"> of review, not its </w:t>
      </w:r>
      <w:r>
        <w:rPr>
          <w:i/>
        </w:rPr>
        <w:t>source</w:t>
      </w:r>
      <w:r>
        <w:t xml:space="preserve">. The preferred account is a two-level one: at the surface, courts legitimately express every ground as statutory implication, and this is more than rhetoric — it disciplines review to each scheme and honours parliamentary supremacy; beneath, the implications are drawn from a common law and constitutional bedrock (legality presumptions, fairness, entrenched supervision) that persists whatever any statute says. The High Court's own practice betrays the duality: </w:t>
      </w:r>
      <w:r>
        <w:rPr>
          <w:i/>
        </w:rPr>
        <w:t>S157</w:t>
      </w:r>
      <w:r>
        <w:t xml:space="preserve"> simultaneously "construes" the privative clause and announces that review for jurisdictional error cannot be ousted. The proposition should therefore be accepted — with the addendum that the irreducible residue is not an embarrassment but the constitutional point: some things bind because of what courts are, not because of what Parliament said.</w:t>
      </w:r>
    </w:p>
    <w:p w14:paraId="7B52C3B0">
      <w:r>
        <w:br w:type="page"/>
      </w:r>
    </w:p>
    <w:p w14:paraId="0DC180B7">
      <w:pPr>
        <w:pBdr>
          <w:bottom w:val="single" w:color="1F4E79" w:sz="8" w:space="4"/>
        </w:pBdr>
      </w:pPr>
      <w:r>
        <w:rPr>
          <w:b/>
          <w:color w:val="1F4E79"/>
          <w:sz w:val="32"/>
        </w:rPr>
        <w:t>Essay 9 — Procedural Fairness from Kioa to Badari</w:t>
      </w:r>
    </w:p>
    <w:p w14:paraId="4893CD1B">
      <w:r>
        <w:rPr>
          <w:i/>
          <w:color w:val="595959"/>
          <w:sz w:val="19"/>
        </w:rPr>
        <w:t>Covers: 2022 ("the principles governing procedural fairness remain as strong now as when first articulated in Kioa (Sem 13 s8–10)"); 2012 ("the fair hearing rule is one of the most important safeguards of individual rights").</w:t>
      </w:r>
    </w:p>
    <w:p w14:paraId="2FF888F5">
      <w:pPr>
        <w:jc w:val="both"/>
      </w:pPr>
      <w:r>
        <w:rPr>
          <w:b/>
        </w:rPr>
        <w:t>Contention.</w:t>
      </w:r>
      <w:r>
        <w:t xml:space="preserve"> The principles are stronger than in 1985 in their foundations and reach, but their bite has been qualified at the remedial end by materiality. </w:t>
      </w:r>
      <w:r>
        <w:rPr>
          <w:i/>
        </w:rPr>
        <w:t>Kioa</w:t>
      </w:r>
      <w:r>
        <w:t xml:space="preserve">'s framework — presumptive application, flexible content — has not merely survived; </w:t>
      </w:r>
      <w:r>
        <w:rPr>
          <w:i/>
        </w:rPr>
        <w:t>Badari (Sem 14 s6–9)</w:t>
      </w:r>
      <w:r>
        <w:t xml:space="preserve"> has entrenched it. The accurate statement is: stronger threshold, steadier content, weaker consequences.</w:t>
      </w:r>
    </w:p>
    <w:p w14:paraId="23239292">
      <w:pPr>
        <w:jc w:val="both"/>
      </w:pPr>
      <w:r>
        <w:rPr>
          <w:b/>
        </w:rPr>
        <w:t>The case that the principles remain strong.</w:t>
      </w:r>
      <w:r>
        <w:t xml:space="preserve"> The threshold presumption has hardened: from Mason J's "common law duty to act fairly" in </w:t>
      </w:r>
      <w:r>
        <w:rPr>
          <w:i/>
        </w:rPr>
        <w:t>Kioa</w:t>
      </w:r>
      <w:r>
        <w:t xml:space="preserve"> to </w:t>
      </w:r>
      <w:r>
        <w:rPr>
          <w:i/>
        </w:rPr>
        <w:t>Saeed (Sem 13 s11–12)</w:t>
      </w:r>
      <w:r>
        <w:t xml:space="preserve">'s insistence that only plain words of necessary intendment displace fairness, to </w:t>
      </w:r>
      <w:r>
        <w:rPr>
          <w:i/>
        </w:rPr>
        <w:t>Badari</w:t>
      </w:r>
      <w:r>
        <w:t xml:space="preserve"> [2025] HCA 47 confirming a "strong common law presumption" wherever a power is apt to affect rights or interests adversely. Content doctrine matured rather than weakened: disclosure of credible, relevant and significant adverse material (</w:t>
      </w:r>
      <w:r>
        <w:rPr>
          <w:i/>
        </w:rPr>
        <w:t>Kioa</w:t>
      </w:r>
      <w:r>
        <w:t xml:space="preserve">, Brennan J) — the very obligation enforced in </w:t>
      </w:r>
      <w:r>
        <w:rPr>
          <w:i/>
        </w:rPr>
        <w:t>Nathanson (Sem 13 s16–17)</w:t>
      </w:r>
      <w:r>
        <w:t>, where undisclosed family-violence material vitiated the decision; the opportunity to respond when the basis of decision shifts (</w:t>
      </w:r>
      <w:r>
        <w:rPr>
          <w:i/>
        </w:rPr>
        <w:t>WZARH (Sem 13 s13–15)</w:t>
      </w:r>
      <w:r>
        <w:t>); and the abandonment of "legitimate expectation" (</w:t>
      </w:r>
      <w:r>
        <w:rPr>
          <w:i/>
        </w:rPr>
        <w:t>WZARH</w:t>
      </w:r>
      <w:r>
        <w:t xml:space="preserve">) was a strengthening, removing an unstable gatekeeper so that fairness turns on interests, not expectations. The bias limb likewise: </w:t>
      </w:r>
      <w:r>
        <w:rPr>
          <w:i/>
        </w:rPr>
        <w:t>Ebner (Sem 15 s10–12)</w:t>
      </w:r>
      <w:r>
        <w:t>'s two-step has proved adaptable from judges to administrators, extending to social-media prejudgment (</w:t>
      </w:r>
      <w:r>
        <w:rPr>
          <w:i/>
        </w:rPr>
        <w:t>Hendry (Sem 15 s13)</w:t>
      </w:r>
      <w:r>
        <w:t xml:space="preserve">). The hearing rule remains, as the 2012 question says, the paradigm safeguard: it protects before harm occurs, costs the state little, and improves accuracy — </w:t>
      </w:r>
      <w:r>
        <w:rPr>
          <w:i/>
        </w:rPr>
        <w:t>Nathanson</w:t>
      </w:r>
      <w:r>
        <w:t xml:space="preserve"> (Gageler J): the opportunity matters most exactly when it is assumed nothing could have been said.</w:t>
      </w:r>
    </w:p>
    <w:p w14:paraId="722745B4">
      <w:pPr>
        <w:jc w:val="both"/>
      </w:pPr>
      <w:r>
        <w:rPr>
          <w:b/>
        </w:rPr>
        <w:t>The case that the principles have weakened.</w:t>
      </w:r>
      <w:r>
        <w:t xml:space="preserve"> Three qualifications. First, </w:t>
      </w:r>
      <w:r>
        <w:rPr>
          <w:b/>
          <w:bCs/>
        </w:rPr>
        <w:t>materiality</w:t>
      </w:r>
      <w:r>
        <w:t xml:space="preserve">: since </w:t>
      </w:r>
      <w:r>
        <w:rPr>
          <w:i/>
        </w:rPr>
        <w:t>SZMTA</w:t>
      </w:r>
      <w:r>
        <w:t xml:space="preserve"> and </w:t>
      </w:r>
      <w:r>
        <w:rPr>
          <w:i/>
        </w:rPr>
        <w:t>LPDT (Sem 11–12)</w:t>
      </w:r>
      <w:r>
        <w:t xml:space="preserve">, a denial of fairness yields invalidity only where a realistic possibility of a different outcome is shown — </w:t>
      </w:r>
      <w:r>
        <w:rPr>
          <w:i/>
        </w:rPr>
        <w:t>Kioa</w:t>
      </w:r>
      <w:r>
        <w:t>'s generation asked whether fairness was denied, not whether it would have mattered; the dissent's warning that this shifts the burden to the wronged applies with most force here. Secondly,</w:t>
      </w:r>
      <w:r>
        <w:rPr>
          <w:b/>
          <w:bCs/>
        </w:rPr>
        <w:t xml:space="preserve"> statutory codes</w:t>
      </w:r>
      <w:r>
        <w:t xml:space="preserve">: Parliament increasingly prescribes exhaustive procedures (the Migration Act's codes considered in </w:t>
      </w:r>
      <w:r>
        <w:rPr>
          <w:i/>
        </w:rPr>
        <w:t>Saeed</w:t>
      </w:r>
      <w:r>
        <w:t xml:space="preserve">), shrinking the common law's field even as its presumption strengthens. Thirdly, </w:t>
      </w:r>
      <w:r>
        <w:rPr>
          <w:b/>
          <w:bCs/>
        </w:rPr>
        <w:t>content flexibility</w:t>
      </w:r>
      <w:r>
        <w:t xml:space="preserve"> cuts both ways: "from a full trial to nothingness" (</w:t>
      </w:r>
      <w:r>
        <w:rPr>
          <w:i/>
        </w:rPr>
        <w:t>Badari</w:t>
      </w:r>
      <w:r>
        <w:t xml:space="preserve">; Brennan J in </w:t>
      </w:r>
      <w:r>
        <w:rPr>
          <w:i/>
        </w:rPr>
        <w:t>Kioa</w:t>
      </w:r>
      <w:r>
        <w:t xml:space="preserve">) licenses minimal process at the policy end — </w:t>
      </w:r>
      <w:r>
        <w:rPr>
          <w:i/>
        </w:rPr>
        <w:t>Badari</w:t>
      </w:r>
      <w:r>
        <w:t xml:space="preserve"> itself distinguishes formulating general policy (minimal fairness) from individual application — and flexibility can become a vocabulary for dilution.</w:t>
      </w:r>
    </w:p>
    <w:p w14:paraId="7EFCBE37">
      <w:pPr>
        <w:jc w:val="both"/>
      </w:pPr>
      <w:r>
        <w:rPr>
          <w:b/>
        </w:rPr>
        <w:t>Preferred position.</w:t>
      </w:r>
      <w:r>
        <w:t xml:space="preserve"> The 2022 proposition is correct with one honest amendment: the </w:t>
      </w:r>
      <w:r>
        <w:rPr>
          <w:i/>
        </w:rPr>
        <w:t>principles</w:t>
      </w:r>
      <w:r>
        <w:t xml:space="preserve"> are as strong — arguably stronger, given </w:t>
      </w:r>
      <w:r>
        <w:rPr>
          <w:i/>
        </w:rPr>
        <w:t>Saeed</w:t>
      </w:r>
      <w:r>
        <w:t xml:space="preserve"> and </w:t>
      </w:r>
      <w:r>
        <w:rPr>
          <w:i/>
        </w:rPr>
        <w:t>Badari</w:t>
      </w:r>
      <w:r>
        <w:t xml:space="preserve"> — but their </w:t>
      </w:r>
      <w:r>
        <w:rPr>
          <w:i/>
        </w:rPr>
        <w:t>consequences</w:t>
      </w:r>
      <w:r>
        <w:t xml:space="preserve"> are more conditional than in 1985. The materiality qualification is best defended on Kioa's own logic: fairness exists to protect the practical opportunity to affect outcomes, so an error that could not realistically have affected anything sits oddly with invalidity — yet </w:t>
      </w:r>
      <w:r>
        <w:rPr>
          <w:i/>
        </w:rPr>
        <w:t>Nathanson</w:t>
      </w:r>
      <w:r>
        <w:t xml:space="preserve"> shows the courts policing the qualification so that it does not become a licence to ignore people who "would have lost anyway". For the 2012 phrasing, the hearing rule's claim to be the most important safeguard rests on its breadth (all rights and interests), its timing (before the harm), and its constitutional resilience (only clear words displace it) — credentials no other ground matches.</w:t>
      </w:r>
    </w:p>
    <w:p w14:paraId="4E188938">
      <w:pPr>
        <w:jc w:val="both"/>
      </w:pPr>
      <w:r>
        <w:rPr>
          <w:b/>
        </w:rPr>
        <w:t>Variants.</w:t>
      </w:r>
      <w:r>
        <w:t xml:space="preserve"> For 2022, lead with the Kioa-to-Badari arc and the materiality qualification. For 2012 ("most important safeguard"), lead with the safeguard credentials (breadth, timing, resilience) and use Kioa/Nathanson as the two required cases.</w:t>
      </w:r>
    </w:p>
    <w:p w14:paraId="73FDAF75">
      <w:r>
        <w:br w:type="page"/>
      </w:r>
    </w:p>
    <w:p w14:paraId="338CF640">
      <w:pPr>
        <w:pBdr>
          <w:bottom w:val="single" w:color="1F4E79" w:sz="8" w:space="4"/>
        </w:pBdr>
      </w:pPr>
      <w:r>
        <w:rPr>
          <w:b/>
          <w:color w:val="1F4E79"/>
          <w:sz w:val="32"/>
        </w:rPr>
        <w:t>Essay 10 — Separation of Powers and Administrative Law</w:t>
      </w:r>
    </w:p>
    <w:p w14:paraId="6345A5D5">
      <w:r>
        <w:rPr>
          <w:i/>
          <w:color w:val="595959"/>
          <w:sz w:val="19"/>
        </w:rPr>
        <w:t>Covers: 2020 ("our study of administrative law calls into question the idea that Australia has a strong separation of powers").</w:t>
      </w:r>
    </w:p>
    <w:p w14:paraId="03963E05">
      <w:pPr>
        <w:jc w:val="both"/>
      </w:pPr>
      <w:r>
        <w:rPr>
          <w:b/>
        </w:rPr>
        <w:t>Contention.</w:t>
      </w:r>
      <w:r>
        <w:t xml:space="preserve"> Administrative law simultaneously proves and disproves a strong separation: the judicial/executive boundary is rigorously policed (its strongest wall), while the legislative/executive boundary is porous by design. The accurate conclusion is a strong but selective separation — strong where Ch III operates, weak everywhere else, with administrative law itself built to compensate for that weakness.</w:t>
      </w:r>
    </w:p>
    <w:p w14:paraId="5F2E4668">
      <w:pPr>
        <w:jc w:val="both"/>
      </w:pPr>
      <w:r>
        <w:rPr>
          <w:b/>
        </w:rPr>
        <w:t>The case that separation is weak.</w:t>
      </w:r>
      <w:r>
        <w:t xml:space="preserve"> The executive routinely exercises quasi-legislative power (delegated legislation — the very subject of </w:t>
      </w:r>
      <w:r>
        <w:rPr>
          <w:i/>
        </w:rPr>
        <w:t>Toohey (Sem 17 s7–8)</w:t>
      </w:r>
      <w:r>
        <w:t xml:space="preserve"> and </w:t>
      </w:r>
      <w:r>
        <w:rPr>
          <w:i/>
        </w:rPr>
        <w:t>Vanstone (Sem 24 s8–11) v Clark</w:t>
      </w:r>
      <w:r>
        <w:t xml:space="preserve">) and quasi-judicial power (tribunals determining rights, merits review re-deciding cases — permissible precisely because the ART/VCAT are not Ch III courts and apply "correct or preferable" rather than judicial method: </w:t>
      </w:r>
      <w:r>
        <w:rPr>
          <w:i/>
        </w:rPr>
        <w:t>Drake (Sem 5 s9–13)</w:t>
      </w:r>
      <w:r>
        <w:t>). Parliament, dominated by the executive, can confer discretions of breathtaking width ("the Minister may, if satisfied..."), attempt to oust review (privative clauses), and validate breaches prospectively. Responsible government — the supposed political check — depends on the executive's own majority. On this view the textbook tripartite separation is, outside the courts, more diagram than description.</w:t>
      </w:r>
    </w:p>
    <w:p w14:paraId="66098F53">
      <w:pPr>
        <w:jc w:val="both"/>
      </w:pPr>
      <w:r>
        <w:rPr>
          <w:b/>
        </w:rPr>
        <w:t>The case that separation is strong.</w:t>
      </w:r>
      <w:r>
        <w:t xml:space="preserve"> Where the judicial power is concerned, the separation has real teeth — its source the </w:t>
      </w:r>
      <w:r>
        <w:rPr>
          <w:b/>
          <w:bCs/>
        </w:rPr>
        <w:t>Chapter III entrenchment</w:t>
      </w:r>
      <w:r>
        <w:t xml:space="preserve"> of the courts' supervisory role recognised in </w:t>
      </w:r>
      <w:r>
        <w:rPr>
          <w:i/>
        </w:rPr>
        <w:t>Plaintiff S157 (Sem 23 s8–10)</w:t>
      </w:r>
      <w:r>
        <w:t xml:space="preserve"> and </w:t>
      </w:r>
      <w:r>
        <w:rPr>
          <w:i/>
        </w:rPr>
        <w:t>Kirk (Sem 23 s11–12)</w:t>
      </w:r>
      <w:r>
        <w:t xml:space="preserve"> — and administrative law is its sharpest expression. Parliament cannot withdraw s 75(v) review (</w:t>
      </w:r>
      <w:r>
        <w:rPr>
          <w:i/>
        </w:rPr>
        <w:t>Plaintiff S157</w:t>
      </w:r>
      <w:r>
        <w:t>) nor deprive State Supreme Courts of supervisory jurisdiction (</w:t>
      </w:r>
      <w:r>
        <w:rPr>
          <w:i/>
        </w:rPr>
        <w:t>Kirk</w:t>
      </w:r>
      <w:r>
        <w:t>); it cannot enact a law that denies a court the ability to enforce the limits of an officer's power (</w:t>
      </w:r>
      <w:r>
        <w:rPr>
          <w:i/>
        </w:rPr>
        <w:t>Graham (Sem 23 s13–15)</w:t>
      </w:r>
      <w:r>
        <w:t xml:space="preserve">). Conversely, </w:t>
      </w:r>
      <w:r>
        <w:rPr>
          <w:b/>
          <w:bCs/>
        </w:rPr>
        <w:t xml:space="preserve">the courts police </w:t>
      </w:r>
      <w:r>
        <w:rPr>
          <w:b/>
          <w:bCs/>
          <w:i/>
        </w:rPr>
        <w:t>themselves</w:t>
      </w:r>
      <w:r>
        <w:rPr>
          <w:b/>
          <w:bCs/>
        </w:rPr>
        <w:t xml:space="preserve"> out of the executive's province</w:t>
      </w:r>
      <w:r>
        <w:t>: the legality/merits line (</w:t>
      </w:r>
      <w:r>
        <w:rPr>
          <w:i/>
        </w:rPr>
        <w:t>Quin (Sem 21 s9)</w:t>
      </w:r>
      <w:r>
        <w:t>), the refusal to re-weigh considerations (</w:t>
      </w:r>
      <w:r>
        <w:rPr>
          <w:i/>
        </w:rPr>
        <w:t>Peko-Wallsend (Sem 17 s14–16)</w:t>
      </w:r>
      <w:r>
        <w:t>), the stringency of unreasonableness (</w:t>
      </w:r>
      <w:r>
        <w:rPr>
          <w:i/>
        </w:rPr>
        <w:t>SZVFW (Sem 21 s9)</w:t>
      </w:r>
      <w:r>
        <w:t>) — these are separation-of-powers doctrines operating against judicial overreach. Even the materiality debate (Essays 1, 4) is at bottom a separation debate. The entire architecture of review — grounds expressed as statutory implications, remedies that remit rather than re-decide — is the separation of powers made procedural.</w:t>
      </w:r>
    </w:p>
    <w:p w14:paraId="6E568BFA">
      <w:pPr>
        <w:jc w:val="both"/>
      </w:pPr>
      <w:r>
        <w:rPr>
          <w:b/>
        </w:rPr>
        <w:t>Preferred position.</w:t>
      </w:r>
      <w:r>
        <w:t xml:space="preserve"> The study of administrative law refines rather than refutes the strong-separation thesis: Australia maintains a genuinely strong separation of </w:t>
      </w:r>
      <w:r>
        <w:rPr>
          <w:i/>
        </w:rPr>
        <w:t>judicial</w:t>
      </w:r>
      <w:r>
        <w:t xml:space="preserve"> power (in both directions — courts protected from ouster, executive protected from judicial merits intrusion) and a deliberately weak separation between legislature and executive, with administrative law functioning as the compensating mechanism. The non-judicial accountability institutions (Ombudsman, merits review, reasons obligations) exist precisely because the political branches blur; the judicial doctrines remain rigid precisely because Ch III does not. The proposition is therefore right about the system's design but wrong about its most examinable feature: nothing in the course suggests the Ch III separation is weak — </w:t>
      </w:r>
      <w:r>
        <w:rPr>
          <w:i/>
        </w:rPr>
        <w:t>S157</w:t>
      </w:r>
      <w:r>
        <w:t xml:space="preserve">, </w:t>
      </w:r>
      <w:r>
        <w:rPr>
          <w:i/>
        </w:rPr>
        <w:t>Kirk</w:t>
      </w:r>
      <w:r>
        <w:t xml:space="preserve"> and </w:t>
      </w:r>
      <w:r>
        <w:rPr>
          <w:i/>
        </w:rPr>
        <w:t>Graham</w:t>
      </w:r>
      <w:r>
        <w:t xml:space="preserve"> suggest it is the strongest structural commitment in Australian public law.</w:t>
      </w:r>
    </w:p>
    <w:p w14:paraId="7E56E88A">
      <w:r>
        <w:br w:type="page"/>
      </w:r>
    </w:p>
    <w:p w14:paraId="16B24B5F">
      <w:pPr>
        <w:pBdr>
          <w:bottom w:val="single" w:color="1F4E79" w:sz="8" w:space="4"/>
        </w:pBdr>
      </w:pPr>
      <w:r>
        <w:rPr>
          <w:b/>
          <w:color w:val="1F4E79"/>
          <w:sz w:val="32"/>
        </w:rPr>
        <w:t>Essay 11 — The ADJR Act, Bond and the Statutory Gateways (with the ALA)</w:t>
      </w:r>
    </w:p>
    <w:p w14:paraId="42AF114C">
      <w:r>
        <w:rPr>
          <w:i/>
          <w:color w:val="595959"/>
          <w:sz w:val="19"/>
        </w:rPr>
        <w:t>Covers: 2019 (common law/constitutional underpinnings "overshadowed" by statutory mechanisms); 2018 (ADJR and ALA "different but equally flawed"); 2016 ("trapped in 1977"); 2015 ("the wrong turn happened with Bond (Sem 10 s5)"); 2017 ("does the ALA continue to serve any useful purpose").</w:t>
      </w:r>
    </w:p>
    <w:p w14:paraId="633FFCA6">
      <w:pPr>
        <w:jc w:val="both"/>
      </w:pPr>
      <w:r>
        <w:rPr>
          <w:b/>
        </w:rPr>
        <w:t>Contention.</w:t>
      </w:r>
      <w:r>
        <w:t xml:space="preserve"> The ADJR Act was the great rationalising reform of Australian administrative law, and its gateways have aged into its principal defect: "decision of an administrative character made under an enactment", as glossed by </w:t>
      </w:r>
      <w:r>
        <w:rPr>
          <w:i/>
        </w:rPr>
        <w:t>Bond</w:t>
      </w:r>
      <w:r>
        <w:t xml:space="preserve"> and </w:t>
      </w:r>
      <w:r>
        <w:rPr>
          <w:i/>
        </w:rPr>
        <w:t>Tang (Notes)</w:t>
      </w:r>
      <w:r>
        <w:t xml:space="preserve">, now excludes much of how modern government acts. But "trapped in 1977" and "the wrong turn was Bond" each tell only half the story: the deeper cause is the renaissance of the constitutional avenues (s 75(v); s 39B; </w:t>
      </w:r>
      <w:r>
        <w:rPr>
          <w:i/>
        </w:rPr>
        <w:t>Kirk (Sem 23 s11–12)</w:t>
      </w:r>
      <w:r>
        <w:t>), which made the ADJR's limits matter less — and the ALA's survival is justified by exactly one feature, its records/reasons provisions.</w:t>
      </w:r>
    </w:p>
    <w:p w14:paraId="77F272BF">
      <w:pPr>
        <w:jc w:val="both"/>
      </w:pPr>
      <w:r>
        <w:rPr>
          <w:b/>
        </w:rPr>
        <w:t>The case for the critiques.</w:t>
      </w:r>
      <w:r>
        <w:t xml:space="preserve"> The gateway trilogy bites in sequence. </w:t>
      </w:r>
      <w:r>
        <w:rPr>
          <w:i/>
        </w:rPr>
        <w:t>Bond</w:t>
      </w:r>
      <w:r>
        <w:t xml:space="preserve"> confined "decision" to acts that are final, operative and determinative, relegating intermediate findings to "conduct" — protecting administration from fragmentation but excluding much real harm done along the way. </w:t>
      </w:r>
      <w:r>
        <w:rPr>
          <w:i/>
        </w:rPr>
        <w:t>Tang</w:t>
      </w:r>
      <w:r>
        <w:t xml:space="preserve"> required the decision to be authorised by the enactment </w:t>
      </w:r>
      <w:r>
        <w:rPr>
          <w:i/>
        </w:rPr>
        <w:t>and</w:t>
      </w:r>
      <w:r>
        <w:t xml:space="preserve"> to derive its capacity to affect rights from the statute — excising government action sourced in contract, funding agreements and corporate instruments at the very moment government began acting through them (the privatisation gap; cf Essay 16). The Act's schedules exclude swathes of sensitive decision-making; its list of grounds froze a 1977 snapshot while the common law moved (</w:t>
      </w:r>
      <w:r>
        <w:rPr>
          <w:i/>
        </w:rPr>
        <w:t>Li</w:t>
      </w:r>
      <w:r>
        <w:t xml:space="preserve"> (Sem 21 s9–14)'s reasonableness; materiality; </w:t>
      </w:r>
      <w:r>
        <w:rPr>
          <w:i/>
        </w:rPr>
        <w:t>Badari (Sem 14 s6–9)</w:t>
      </w:r>
      <w:r>
        <w:t>); and the reasons obligation (s 13) is hedged with exceptions. The ALA is "equally flawed" differently: its gateway — a "decision" by a "tribunal" required to observe natural justice (ss 2–3) — is narrower and more technical still (</w:t>
      </w:r>
      <w:r>
        <w:rPr>
          <w:i/>
        </w:rPr>
        <w:t>Masters v McCubbery (Notes)</w:t>
      </w:r>
      <w:r>
        <w:t>), its 30-day limit is harsh, and it adds little to Order 56.</w:t>
      </w:r>
    </w:p>
    <w:p w14:paraId="6A698CA4">
      <w:pPr>
        <w:jc w:val="both"/>
      </w:pPr>
      <w:r>
        <w:rPr>
          <w:b/>
        </w:rPr>
        <w:t>The case against.</w:t>
      </w:r>
      <w:r>
        <w:t xml:space="preserve"> The critiques undervalue what the statutes did and still do. The ADJR Act invented systematic reasons-on-request (s 13) — the cultural reform McMillan credits with transforming administration (Essay 6) — codified intelligible grounds, and made review accessible in a single Federal Court application; </w:t>
      </w:r>
      <w:r>
        <w:rPr>
          <w:i/>
        </w:rPr>
        <w:t>Bond</w:t>
      </w:r>
      <w:r>
        <w:t xml:space="preserve"> itself was a defensible reading protecting decision-making from interlocutory siege — and the common law shows the flexibility the ADJR text lacks: certiorari can reach even a preliminary recommendation with a discernible legal effect on rights (</w:t>
      </w:r>
      <w:r>
        <w:rPr>
          <w:i/>
        </w:rPr>
        <w:t>Hot Holdings (Sem 10 s7) v Creasy</w:t>
      </w:r>
      <w:r>
        <w:t xml:space="preserve">). The constitutional avenues' renaissance (the 2019 quotation's "overshadowing" in reverse) means the gateways are no longer outcome-determinative: what ADJR excludes, s 39B/s 75(v) catches — </w:t>
      </w:r>
      <w:r>
        <w:rPr>
          <w:i/>
        </w:rPr>
        <w:t>S157 (Sem 23 s8–10)</w:t>
      </w:r>
      <w:r>
        <w:t xml:space="preserve"> guarantees the floor. And the ALA earns its keep through s 8 (reasons on request) and especially s 10: reasons become part of the record, resurrecting certiorari for non-jurisdictional error of law on the face of the record in Victoria — a genuine, distinctive advantage over Order 56 review (</w:t>
      </w:r>
      <w:r>
        <w:rPr>
          <w:i/>
        </w:rPr>
        <w:t>Craig (Notes); Kirk</w:t>
      </w:r>
      <w:r>
        <w:t>).</w:t>
      </w:r>
    </w:p>
    <w:p w14:paraId="61694DAF">
      <w:pPr>
        <w:jc w:val="both"/>
      </w:pPr>
      <w:r>
        <w:rPr>
          <w:b/>
        </w:rPr>
        <w:t>Preferred position.</w:t>
      </w:r>
      <w:r>
        <w:t xml:space="preserve"> The preferred contention is that the statutory gateways are flawed but the system is not: Australia effectively runs a two-track design in which the statutory tracks provide amenity (reasons, codified grounds, simpler procedure) and the constitutional/common law tracks provide the guarantee (</w:t>
      </w:r>
      <w:r>
        <w:rPr>
          <w:i/>
        </w:rPr>
        <w:t>S157; Kirk</w:t>
      </w:r>
      <w:r>
        <w:t xml:space="preserve">). On that view, </w:t>
      </w:r>
      <w:r>
        <w:rPr>
          <w:i/>
        </w:rPr>
        <w:t>Bond</w:t>
      </w:r>
      <w:r>
        <w:t xml:space="preserve"> was less a wrong turn than a turn whose costs were absorbed elsewhere; "trapped in 1977" is true of the ADJR's text but not of the system's capacity; and the ALA "continues to serve a useful purpose" — but only just, and only because of ss 8 and 10. The reform implication is modernisation of the gateways (decision/enactment definitions; reasons exceptions), not abandonment of the statutory model that made review usable.</w:t>
      </w:r>
    </w:p>
    <w:p w14:paraId="737B5B30">
      <w:pPr>
        <w:jc w:val="both"/>
      </w:pPr>
      <w:r>
        <w:rPr>
          <w:b/>
        </w:rPr>
        <w:t>Variants.</w:t>
      </w:r>
      <w:r>
        <w:t xml:space="preserve"> For 2019, frame around the "overshadowing" quotation and argue the pendulum has swung back to the constitutional core. For 2015, organise around Bond's finality requirement; for 2017 (ALA), make ss 8/10 and the 30-day limit the spine; for 2018, run ADJR and ALA in strict parallel.</w:t>
      </w:r>
    </w:p>
    <w:p w14:paraId="07382DE7">
      <w:r>
        <w:br w:type="page"/>
      </w:r>
    </w:p>
    <w:p w14:paraId="79FE209C">
      <w:pPr>
        <w:pBdr>
          <w:bottom w:val="single" w:color="1F4E79" w:sz="8" w:space="4"/>
        </w:pBdr>
      </w:pPr>
      <w:r>
        <w:rPr>
          <w:b/>
          <w:color w:val="1F4E79"/>
          <w:sz w:val="32"/>
        </w:rPr>
        <w:t>Essay 12 — The Right to Reasons</w:t>
      </w:r>
    </w:p>
    <w:p w14:paraId="458F0EEA">
      <w:r>
        <w:rPr>
          <w:i/>
          <w:color w:val="595959"/>
          <w:sz w:val="19"/>
        </w:rPr>
        <w:t>Covers: 2019 ("the statutory obligation to provide reasons is one of the most important reforms... a justification for decisions and a means for the courts to extend other administrative law principles").</w:t>
      </w:r>
    </w:p>
    <w:p w14:paraId="60ED366D">
      <w:pPr>
        <w:jc w:val="both"/>
      </w:pPr>
      <w:r>
        <w:rPr>
          <w:b/>
        </w:rPr>
        <w:t>Contention.</w:t>
      </w:r>
      <w:r>
        <w:t xml:space="preserve"> The proposition is correct, and the right to reasons is best understood as the connective tissue of the whole accountability system: without reasons, most grounds of review are unprovable, merits review is uninformed, and the Ombudsman investigates blind. Its principal weakness is its incompleteness — there is no common law right, so the entitlement is only as wide as each statute.</w:t>
      </w:r>
    </w:p>
    <w:p w14:paraId="6CF08D5E">
      <w:pPr>
        <w:jc w:val="both"/>
      </w:pPr>
      <w:r>
        <w:rPr>
          <w:b/>
        </w:rPr>
        <w:t>The case for the proposition.</w:t>
      </w:r>
      <w:r>
        <w:t xml:space="preserve"> Reasons serve the dual function the question identifies. As </w:t>
      </w:r>
      <w:r>
        <w:rPr>
          <w:i/>
        </w:rPr>
        <w:t>justification</w:t>
      </w:r>
      <w:r>
        <w:t xml:space="preserve">, the discipline of articulating reasons improves decisions before any review: a decision-maker who must explain must engage — the "active intellectual process" </w:t>
      </w:r>
      <w:r>
        <w:rPr>
          <w:i/>
        </w:rPr>
        <w:t>Tickner (Sem 17 s17–19)</w:t>
      </w:r>
      <w:r>
        <w:t xml:space="preserve"> demands becomes self-enforcing, and McMillan's "new culture" (Essay 6) is largely a reason-giving culture. As a </w:t>
      </w:r>
      <w:r>
        <w:rPr>
          <w:i/>
        </w:rPr>
        <w:t>lever for the courts</w:t>
      </w:r>
      <w:r>
        <w:t>, reasons are the evidentiary foundation of nearly every ground: failure to consider (</w:t>
      </w:r>
      <w:r>
        <w:rPr>
          <w:i/>
        </w:rPr>
        <w:t>Peko-Wallsend (Sem 17 s14–16); Tickner</w:t>
      </w:r>
      <w:r>
        <w:t>) is proved from what the reasons omit; irrationality (</w:t>
      </w:r>
      <w:r>
        <w:rPr>
          <w:i/>
        </w:rPr>
        <w:t>SZMDS (Sem 20 s7–11)</w:t>
      </w:r>
      <w:r>
        <w:t>) and unreasonableness (</w:t>
      </w:r>
      <w:r>
        <w:rPr>
          <w:i/>
        </w:rPr>
        <w:t>Li</w:t>
      </w:r>
      <w:r>
        <w:t xml:space="preserve"> (Sem 21 s9–14) — a decision lacking "evident and intelligible justification" is, literally, a reasons-focused standard) from what they contain; error of law on the face of the record from their terms — with ALA s 10 deeming reasons part of the record, dramatically widening certiorari in Victoria; bias and improper purpose from their tone and gaps. The statutory architecture confirms centrality: ADJR s 13, the ART's reasons obligations, VCAT, ALA s 8 — every reform generation has re-enacted the entitlement.</w:t>
      </w:r>
    </w:p>
    <w:p w14:paraId="2BE397B4">
      <w:pPr>
        <w:jc w:val="both"/>
      </w:pPr>
      <w:r>
        <w:rPr>
          <w:b/>
        </w:rPr>
        <w:t>The case against.</w:t>
      </w:r>
      <w:r>
        <w:t xml:space="preserve"> Three deflations. First, no common law right to reasons exists, and the statutes are gap-ridden: ADJR s 13 carries exclusions and schedules; the ALA gives reasons only of "tribunals"; many of the most consequential decisions fall outside all of them. Secondly, reasons can be defensive artefacts: standardised, lawyer-proofed text reciting the statutory formula ("I am satisfied that...") familiar from every licensing file, concealing the real process; courts respond by cautioning against an over-zealous search of reasons for error and by leaving the weight of considerations to the decision-maker (</w:t>
      </w:r>
      <w:r>
        <w:rPr>
          <w:i/>
        </w:rPr>
        <w:t>Plaintiff M1 (Sem 19 s7)</w:t>
      </w:r>
      <w:r>
        <w:t xml:space="preserve">; </w:t>
      </w:r>
      <w:r>
        <w:rPr>
          <w:i/>
        </w:rPr>
        <w:t>Peko-Wallsend</w:t>
      </w:r>
      <w:r>
        <w:t>), which simultaneously protects decision-makers from drafting slips and weakens reasons as a lever. Thirdly, the obligation arises after the decision: it cannot substitute for participation (the hearing rule) and may rationalise rather than explain.</w:t>
      </w:r>
    </w:p>
    <w:p w14:paraId="36C2CED7">
      <w:pPr>
        <w:jc w:val="both"/>
      </w:pPr>
      <w:r>
        <w:rPr>
          <w:b/>
        </w:rPr>
        <w:t>Preferred position.</w:t>
      </w:r>
      <w:r>
        <w:t xml:space="preserve"> The proposition should be affirmed with the qualification that the reform remains unfinished. Reasons are the hinge between the </w:t>
      </w:r>
      <w:r>
        <w:rPr>
          <w:i/>
        </w:rPr>
        <w:t>justificatory</w:t>
      </w:r>
      <w:r>
        <w:t xml:space="preserve"> and </w:t>
      </w:r>
      <w:r>
        <w:rPr>
          <w:i/>
        </w:rPr>
        <w:t>supervisory</w:t>
      </w:r>
      <w:r>
        <w:t xml:space="preserve"> faces of administrative law: they operationalise accountability (a decision that cannot be explained cannot be defended) and they make the other grounds practically available. The honest concessions — no common law entitlement; template reasons; post-hoc rationalisation — argue for extension and standardisation, not scepticism. The deepest point for an HD answer: the reasons obligation quietly redistributes power, converting the citizen's position from supplicant to auditor; that is why it belongs with s 75(v) and merits review among the structural reforms rather than the procedural details.</w:t>
      </w:r>
    </w:p>
    <w:p w14:paraId="2A4459C3">
      <w:r>
        <w:br w:type="page"/>
      </w:r>
    </w:p>
    <w:p w14:paraId="6DDA4CC2">
      <w:pPr>
        <w:pBdr>
          <w:bottom w:val="single" w:color="1F4E79" w:sz="8" w:space="4"/>
        </w:pBdr>
      </w:pPr>
      <w:r>
        <w:rPr>
          <w:b/>
          <w:color w:val="1F4E79"/>
          <w:sz w:val="32"/>
        </w:rPr>
        <w:t>Essay 13 — Judicial Review, Merits Review and the Ombudsman Compared</w:t>
      </w:r>
    </w:p>
    <w:p w14:paraId="20C82E30">
      <w:r>
        <w:rPr>
          <w:i/>
          <w:color w:val="595959"/>
          <w:sz w:val="19"/>
        </w:rPr>
        <w:t>Covers: 2016 ("critically discuss how judicial review, merits review and the Ombudsman schemes compare in their ability to serve the goals of Australian administrative law"); 2018 ("do courts pay too much attention to who makes a decision and not enough to its content and impact?").</w:t>
      </w:r>
    </w:p>
    <w:p w14:paraId="2370A897">
      <w:pPr>
        <w:jc w:val="both"/>
      </w:pPr>
      <w:r>
        <w:rPr>
          <w:b/>
        </w:rPr>
        <w:t>Contention.</w:t>
      </w:r>
      <w:r>
        <w:t xml:space="preserve"> The three institutions are best evaluated as a portfolio answering three different questions — was it lawful (courts), was it correct or preferable (merits review), was it good administration (Ombudsman) — and the system's genius is the portfolio, not any single instrument. On the 2018 variant: the courts' attentiveness to </w:t>
      </w:r>
      <w:r>
        <w:rPr>
          <w:i/>
        </w:rPr>
        <w:t>who</w:t>
      </w:r>
      <w:r>
        <w:t xml:space="preserve"> decides is not formalism but the enforcement of Parliament's allocation of power; the attention to content and impact belongs, by design, to the other two institutions.</w:t>
      </w:r>
    </w:p>
    <w:p w14:paraId="2FB1FB39">
      <w:pPr>
        <w:jc w:val="both"/>
      </w:pPr>
      <w:r>
        <w:rPr>
          <w:b/>
        </w:rPr>
        <w:t>The comparison.</w:t>
      </w:r>
      <w:r>
        <w:t xml:space="preserve"> </w:t>
      </w:r>
      <w:r>
        <w:rPr>
          <w:i/>
        </w:rPr>
        <w:t>Judicial review</w:t>
      </w:r>
      <w:r>
        <w:t xml:space="preserve"> serves legality and the rule of law: entrenched (</w:t>
      </w:r>
      <w:r>
        <w:rPr>
          <w:i/>
        </w:rPr>
        <w:t>S157; Kirk</w:t>
      </w:r>
      <w:r>
        <w:t>), coercive (</w:t>
      </w:r>
      <w:r>
        <w:rPr>
          <w:i/>
        </w:rPr>
        <w:t>Bhardwaj (Sem 11 s12–13)</w:t>
      </w:r>
      <w:r>
        <w:t xml:space="preserve"> nullity; certiorari, mandamus), but bounded by </w:t>
      </w:r>
      <w:r>
        <w:rPr>
          <w:i/>
        </w:rPr>
        <w:t>Quin (Sem 21 s9)</w:t>
      </w:r>
      <w:r>
        <w:t>, expensive, standing-gated (</w:t>
      </w:r>
      <w:r>
        <w:rPr>
          <w:i/>
        </w:rPr>
        <w:t>ACF (Sem 9 s5–6); Onus (Sem 9 s6–8); Argos (Sem 9 s12–13)</w:t>
      </w:r>
      <w:r>
        <w:t xml:space="preserve">) and remedially circular (remittal to the same repository). </w:t>
      </w:r>
      <w:r>
        <w:rPr>
          <w:i/>
        </w:rPr>
        <w:t>Merits review</w:t>
      </w:r>
      <w:r>
        <w:t xml:space="preserve"> serves correctness: the tribunal stands in the shoes of the decision-maker and decides the "correct or preferable" decision on the material before it (</w:t>
      </w:r>
      <w:r>
        <w:rPr>
          <w:i/>
        </w:rPr>
        <w:t>Drake (Sem 5 s9–13)</w:t>
      </w:r>
      <w:r>
        <w:t xml:space="preserve">; </w:t>
      </w:r>
      <w:r>
        <w:rPr>
          <w:i/>
        </w:rPr>
        <w:t>Shi (Sem 5 s14–15)</w:t>
      </w:r>
      <w:r>
        <w:t xml:space="preserve"> — including material as at the time of review), unconstrained by the legality boundary, able to re-weigh, substitute and apply (though not be bound by) government policy (</w:t>
      </w:r>
      <w:r>
        <w:rPr>
          <w:i/>
        </w:rPr>
        <w:t>Drake (No 2)</w:t>
      </w:r>
      <w:r>
        <w:t xml:space="preserve">) — but it exists only where Parliament confers it, its members lack judicial tenure, and </w:t>
      </w:r>
      <w:r>
        <w:rPr>
          <w:i/>
        </w:rPr>
        <w:t>Frugtniet (Sem 5–6)</w:t>
      </w:r>
      <w:r>
        <w:t xml:space="preserve"> shows its boundaries are themselves legally policed. The </w:t>
      </w:r>
      <w:r>
        <w:rPr>
          <w:i/>
        </w:rPr>
        <w:t>Ombudsman</w:t>
      </w:r>
      <w:r>
        <w:t xml:space="preserve"> serves administrative justice and systemic improvement: broadest grounds (unjust, oppressive, simply "wrong"), zero cost, own-motion and systemic capacity — but recommendatory only (Essay 6). Measured against the goals — lawfulness, accountability, participation, transparency, efficiency and individual justice — each instrument is strongest where the others are weakest: the courts on lawfulness and finality; the tribunal on individual justice and content; the Ombudsman on transparency, accessibility and systemic accountability.</w:t>
      </w:r>
    </w:p>
    <w:p w14:paraId="5B81BF69">
      <w:pPr>
        <w:jc w:val="both"/>
      </w:pPr>
      <w:r>
        <w:rPr>
          <w:b/>
        </w:rPr>
        <w:t>The 2018 charge — too much "who", not enough "what".</w:t>
      </w:r>
      <w:r>
        <w:t xml:space="preserve"> The charge has surface force: a decision by an unauthorised delegate is void however impeccable its content (the delegation cases — </w:t>
      </w:r>
      <w:r>
        <w:rPr>
          <w:i/>
        </w:rPr>
        <w:t>Carltona (Sem 15); Pattenden (Sem 16 s7–8)</w:t>
      </w:r>
      <w:r>
        <w:t>), while a harsh but authorised decision stands (</w:t>
      </w:r>
      <w:r>
        <w:rPr>
          <w:i/>
        </w:rPr>
        <w:t>Quin</w:t>
      </w:r>
      <w:r>
        <w:t xml:space="preserve">). But the focus on "who" is principled: the first question of public law is whether </w:t>
      </w:r>
      <w:r>
        <w:rPr>
          <w:i/>
        </w:rPr>
        <w:t>this repository</w:t>
      </w:r>
      <w:r>
        <w:t xml:space="preserve"> was given </w:t>
      </w:r>
      <w:r>
        <w:rPr>
          <w:i/>
        </w:rPr>
        <w:t>this power</w:t>
      </w:r>
      <w:r>
        <w:t xml:space="preserve"> — Parliament's allocation, which review exists to enforce (</w:t>
      </w:r>
      <w:r>
        <w:rPr>
          <w:i/>
        </w:rPr>
        <w:t>LPDT (Sem 11–12)</w:t>
      </w:r>
      <w:r>
        <w:t>'s definition of jurisdictional error is precisely about the conferral). And the premise is false as stated: content is reviewed, through reasonableness (</w:t>
      </w:r>
      <w:r>
        <w:rPr>
          <w:i/>
        </w:rPr>
        <w:t>Li</w:t>
      </w:r>
      <w:r>
        <w:t>), rationality (</w:t>
      </w:r>
      <w:r>
        <w:rPr>
          <w:i/>
        </w:rPr>
        <w:t>SZMDS (Sem 20 s7–11)</w:t>
      </w:r>
      <w:r>
        <w:t>), considerations (</w:t>
      </w:r>
      <w:r>
        <w:rPr>
          <w:i/>
        </w:rPr>
        <w:t>Peko-Wallsend (Sem 17 s14–16)</w:t>
      </w:r>
      <w:r>
        <w:t>) and materiality's outcome-sensitivity (</w:t>
      </w:r>
      <w:r>
        <w:rPr>
          <w:i/>
        </w:rPr>
        <w:t>LPDT</w:t>
      </w:r>
      <w:r>
        <w:t xml:space="preserve">) — what is excluded is not content but </w:t>
      </w:r>
      <w:r>
        <w:rPr>
          <w:i/>
        </w:rPr>
        <w:t>preference</w:t>
      </w:r>
      <w:r>
        <w:t>. Where pure content-correction is wanted, the system provides it — in the tribunal, deliberately outside Ch III.</w:t>
      </w:r>
    </w:p>
    <w:p w14:paraId="718AA520">
      <w:pPr>
        <w:jc w:val="both"/>
      </w:pPr>
      <w:r>
        <w:rPr>
          <w:b/>
        </w:rPr>
        <w:t>Preferred position.</w:t>
      </w:r>
      <w:r>
        <w:t xml:space="preserve"> The preferred contention is "complementarity by design": the comparison is not a contest, and critiques of each institution typically describe the boundary with its neighbour. The system's real weaknesses are the seams — gaps in merits-review coverage (conferral is discretionary with Parliament), Ombudsman non-enforceability, judicial review's cost — and reform should target the seams rather than re-engineer any single institution.</w:t>
      </w:r>
    </w:p>
    <w:p w14:paraId="61B777FE">
      <w:pPr>
        <w:jc w:val="both"/>
      </w:pPr>
      <w:r>
        <w:rPr>
          <w:b/>
        </w:rPr>
        <w:t>Variants.</w:t>
      </w:r>
      <w:r>
        <w:t xml:space="preserve"> For 2016, give each institution one paragraph against the goals of administrative law, then the seams point. For 2018 ("who vs what"), lead with the charge and the delegation cases, then the answer that content review exists (Li; SZMDS; Peko) and preference belongs to the tribunal. A 2024 merits-review question appears in the compiled list without text; this essay and Essay 6 together supply the material for any MR-focused phrasing.</w:t>
      </w:r>
    </w:p>
    <w:p w14:paraId="0B6332DE">
      <w:r>
        <w:br w:type="page"/>
      </w:r>
    </w:p>
    <w:p w14:paraId="4745BB7F">
      <w:pPr>
        <w:pBdr>
          <w:bottom w:val="single" w:color="1F4E79" w:sz="8" w:space="4"/>
        </w:pBdr>
      </w:pPr>
      <w:r>
        <w:rPr>
          <w:b/>
          <w:color w:val="1F4E79"/>
          <w:sz w:val="32"/>
        </w:rPr>
        <w:t>Essay 14 — Standing, Justiciability and Access to Review</w:t>
      </w:r>
    </w:p>
    <w:p w14:paraId="6F07A4AF">
      <w:r>
        <w:rPr>
          <w:i/>
          <w:color w:val="595959"/>
          <w:sz w:val="19"/>
        </w:rPr>
        <w:t>Covers: 2018 ("standing and justiciability limits are difficult to reconcile with the principles underpinning administrative law"); 2017 ("complexities and technicalities... detract from administrative law's overall purpose").</w:t>
      </w:r>
    </w:p>
    <w:p w14:paraId="3C57C8BD">
      <w:pPr>
        <w:jc w:val="both"/>
      </w:pPr>
      <w:r>
        <w:rPr>
          <w:b/>
        </w:rPr>
        <w:t>Contention.</w:t>
      </w:r>
      <w:r>
        <w:t xml:space="preserve"> The tension is real but rationally managed: standing rules serve legitimate functions (cases, not causes; concrete adversarial contests), yet the special-interest test discounts precisely the public and communal interests administrative law exists to protect. The law has answered pragmatically — generous statutory tests, flexible application — and the residual incoherence lies mainly in the doctrine's </w:t>
      </w:r>
      <w:r>
        <w:rPr>
          <w:i/>
        </w:rPr>
        <w:t>justifications</w:t>
      </w:r>
      <w:r>
        <w:t>, not its outcomes.</w:t>
      </w:r>
    </w:p>
    <w:p w14:paraId="34CE3C6E">
      <w:pPr>
        <w:jc w:val="both"/>
      </w:pPr>
      <w:r>
        <w:rPr>
          <w:b/>
        </w:rPr>
        <w:t>The case that the limits are irreconcilable.</w:t>
      </w:r>
      <w:r>
        <w:t xml:space="preserve"> Administrative law's animating principle is that public power must be exercised lawfully — yet </w:t>
      </w:r>
      <w:r>
        <w:rPr>
          <w:b/>
          <w:bCs/>
        </w:rPr>
        <w:t xml:space="preserve">standing </w:t>
      </w:r>
      <w:r>
        <w:t>makes enforcement contingent on a private stake: a "special interest", more than "a mere intellectual or emotional concern" (</w:t>
      </w:r>
      <w:r>
        <w:rPr>
          <w:i/>
        </w:rPr>
        <w:t>ACF (Sem 9 s5–6)</w:t>
      </w:r>
      <w:r>
        <w:t>), more than a belief however strongly held that the law should be observed (Gibbs J). The result is structural under-enforcement: diffuse unlawfulness with no specially affected individual — environmental harm being the canonical case (</w:t>
      </w:r>
      <w:r>
        <w:rPr>
          <w:i/>
        </w:rPr>
        <w:t>ACF</w:t>
      </w:r>
      <w:r>
        <w:t xml:space="preserve"> itself) — escapes review entirely; the "right to speak and influence opinion" is expressly not standing (</w:t>
      </w:r>
      <w:r>
        <w:rPr>
          <w:i/>
        </w:rPr>
        <w:t>Right to Life (Sem 9 s9–10)</w:t>
      </w:r>
      <w:r>
        <w:t>); associations stand no higher than members (</w:t>
      </w:r>
      <w:r>
        <w:rPr>
          <w:i/>
        </w:rPr>
        <w:t>ACF</w:t>
      </w:r>
      <w:r>
        <w:t>). Justiciability doctrines add a second filter for high policy and non-statutory power. The 2017 charge follows: a body of gateway technicality (special interest; "person aggrieved"; "decision... under an enactment"; "tribunal" under the ALA) that consumes argument before lawfulness is ever reached.</w:t>
      </w:r>
    </w:p>
    <w:p w14:paraId="371280A4">
      <w:pPr>
        <w:jc w:val="both"/>
      </w:pPr>
      <w:r>
        <w:rPr>
          <w:b/>
        </w:rPr>
        <w:t>The case that they are reconcilable.</w:t>
      </w:r>
      <w:r>
        <w:t xml:space="preserve"> The limits express, rather than betray, system principles. Adversarial adjudication requires a concrete controversy ("matter"); unrestricted standing would conscript courts into abstract supervision and invite well-resourced ideological litigation — the floodgates and "busybody" concerns are about institutional role, not convenience. And the doctrine flexes where it matters: </w:t>
      </w:r>
      <w:r>
        <w:rPr>
          <w:i/>
        </w:rPr>
        <w:t>Onus (Sem 9 s6–8)</w:t>
      </w:r>
      <w:r>
        <w:t xml:space="preserve"> found standing in cultural and custodial connection ("specially affected, though not necessarily uniquely affected" — Brennan J); </w:t>
      </w:r>
      <w:r>
        <w:rPr>
          <w:i/>
        </w:rPr>
        <w:t>Argos (Sem 9 s12–13)</w:t>
      </w:r>
      <w:r>
        <w:t xml:space="preserve"> read "person aggrieved" by practical effect on business interests, refusing to confine standing by the enabling Act's policy; </w:t>
      </w:r>
      <w:r>
        <w:rPr>
          <w:i/>
        </w:rPr>
        <w:t>Bateman's Bay (Sem 9 s14)</w:t>
      </w:r>
      <w:r>
        <w:t xml:space="preserve"> recognised commercial-competitor standing in equity and counselled a "skeptical" eye on restrictive approaches; for the writs, even a stranger may be heard, the control lying in the court's remedial discretion, which strengthens against strangers (</w:t>
      </w:r>
      <w:r>
        <w:rPr>
          <w:i/>
        </w:rPr>
        <w:t>Aala (Sem 9 s6)</w:t>
      </w:r>
      <w:r>
        <w:t>); and the AG's relator role plus statutory open-standing provisions, conferred in some regulatory schemes to enable broader public-interest enforcement, patch the gap. Justiciability, likewise, has narrowed rather than expanded.</w:t>
      </w:r>
    </w:p>
    <w:p w14:paraId="3CC4B860">
      <w:pPr>
        <w:jc w:val="both"/>
      </w:pPr>
      <w:r>
        <w:rPr>
          <w:b/>
        </w:rPr>
        <w:t>Preferred position.</w:t>
      </w:r>
      <w:r>
        <w:t xml:space="preserve"> The reconciliation succeeds in practice and fails in theory: outcomes are defensible case by case, but the special-interest test still lacks a principled account of </w:t>
      </w:r>
      <w:r>
        <w:rPr>
          <w:i/>
        </w:rPr>
        <w:t>why</w:t>
      </w:r>
      <w:r>
        <w:t xml:space="preserve"> a material stake should be the price of enforcing public legality — </w:t>
      </w:r>
      <w:r>
        <w:rPr>
          <w:i/>
        </w:rPr>
        <w:t>Bateman's Bay</w:t>
      </w:r>
      <w:r>
        <w:t xml:space="preserve">'s own scepticism is the High Court conceding as much. The preferred reform direction is statutory: open or broadened standing where Parliament wants full enforcement, retaining judicial discretion as to remedy (the </w:t>
      </w:r>
      <w:r>
        <w:rPr>
          <w:i/>
        </w:rPr>
        <w:t>Aala</w:t>
      </w:r>
      <w:r>
        <w:t xml:space="preserve"> model) to manage the floodgates concern. For the 2017 phrasing, concede the technicality critique for the gateways (standing; ADJR/ALA thresholds — Essay 11) but distinguish the grounds themselves, whose "complexity" is the necessary price of confining power by law.</w:t>
      </w:r>
    </w:p>
    <w:p w14:paraId="40126A9D">
      <w:r>
        <w:br w:type="page"/>
      </w:r>
    </w:p>
    <w:p w14:paraId="1A6A2744">
      <w:pPr>
        <w:pBdr>
          <w:bottom w:val="single" w:color="1F4E79" w:sz="8" w:space="4"/>
        </w:pBdr>
      </w:pPr>
      <w:r>
        <w:rPr>
          <w:b/>
          <w:color w:val="1F4E79"/>
          <w:sz w:val="32"/>
        </w:rPr>
        <w:t>Essay 15 — Apprehended Bias: Realism and the Fair-Minded Observer</w:t>
      </w:r>
    </w:p>
    <w:p w14:paraId="5D785517">
      <w:r>
        <w:rPr>
          <w:i/>
          <w:color w:val="595959"/>
          <w:sz w:val="19"/>
        </w:rPr>
        <w:t>Covers: 2017 (Kirby J in Jia (Sem 15 s7–9) — public law "robust and effective precisely because it is grounded in realism").</w:t>
      </w:r>
    </w:p>
    <w:p w14:paraId="6B6F1C1A">
      <w:pPr>
        <w:jc w:val="both"/>
      </w:pPr>
      <w:r>
        <w:rPr>
          <w:b/>
        </w:rPr>
        <w:t>Contention.</w:t>
      </w:r>
      <w:r>
        <w:t xml:space="preserve"> Kirby J's realism is the right sensibility but the wrong rule-generator standing alone: the </w:t>
      </w:r>
      <w:r>
        <w:rPr>
          <w:i/>
        </w:rPr>
        <w:t>Ebner (Sem 15 s10–12)</w:t>
      </w:r>
      <w:r>
        <w:t xml:space="preserve"> framework already institutionalises realism through the fair-minded lay observer, while </w:t>
      </w:r>
      <w:r>
        <w:rPr>
          <w:i/>
        </w:rPr>
        <w:t>Jia</w:t>
      </w:r>
      <w:r>
        <w:t>'s majority shows why ministerial decision-makers cannot be held to judicial standards of detachment. The preferred position is realist doctrine, applied with contextual calibration — which is, in substance, what the law now is.</w:t>
      </w:r>
    </w:p>
    <w:p w14:paraId="09BEF551">
      <w:pPr>
        <w:jc w:val="both"/>
      </w:pPr>
      <w:r>
        <w:rPr>
          <w:b/>
        </w:rPr>
        <w:t>The case for Kirby J's realism.</w:t>
      </w:r>
      <w:r>
        <w:t xml:space="preserve"> Bias doctrine protects appearances because public confidence is its currency; an "unworldly" court that ignores how influence actually operates protects neither. Realism explains the doctrine's best features: the observer test asks what might </w:t>
      </w:r>
      <w:r>
        <w:rPr>
          <w:i/>
        </w:rPr>
        <w:t>reasonably be apprehended</w:t>
      </w:r>
      <w:r>
        <w:t>, not what occurred (</w:t>
      </w:r>
      <w:r>
        <w:rPr>
          <w:i/>
        </w:rPr>
        <w:t>Ebner</w:t>
      </w:r>
      <w:r>
        <w:t>) — a sociological, not psychological, inquiry; the two-step (identify the factor; articulate its logical connection to deviation) forces courts to reason openly about real-world influence rather than intone conclusions; and the doctrine has tracked social change — from pecuniary interests (</w:t>
      </w:r>
      <w:r>
        <w:rPr>
          <w:i/>
        </w:rPr>
        <w:t>Ebner</w:t>
      </w:r>
      <w:r>
        <w:t xml:space="preserve"> itself) to a Minister's radio commentary (</w:t>
      </w:r>
      <w:r>
        <w:rPr>
          <w:i/>
        </w:rPr>
        <w:t>Jia</w:t>
      </w:r>
      <w:r>
        <w:t>) to prejudgment on social media (</w:t>
      </w:r>
      <w:r>
        <w:rPr>
          <w:i/>
        </w:rPr>
        <w:t>Hendry (Sem 15 s13)</w:t>
      </w:r>
      <w:r>
        <w:t xml:space="preserve">). Kirby J's dissent in </w:t>
      </w:r>
      <w:r>
        <w:rPr>
          <w:i/>
        </w:rPr>
        <w:t>Jia</w:t>
      </w:r>
      <w:r>
        <w:t xml:space="preserve"> presses realism against power: ministers who publicly announce conclusions about the very persons before them have, in any worldly sense, prejudged.</w:t>
      </w:r>
    </w:p>
    <w:p w14:paraId="408CA07D">
      <w:pPr>
        <w:jc w:val="both"/>
      </w:pPr>
      <w:r>
        <w:rPr>
          <w:b/>
        </w:rPr>
        <w:t>The case for the majority's caution.</w:t>
      </w:r>
      <w:r>
        <w:t xml:space="preserve"> Realism cuts the other way for political decision-makers. The </w:t>
      </w:r>
      <w:r>
        <w:rPr>
          <w:i/>
        </w:rPr>
        <w:t>Jia</w:t>
      </w:r>
      <w:r>
        <w:t xml:space="preserve"> majority's point is institutional: a Minister is not a judge — accountable to Parliament, entitled and expected to hold and express policy views; the standard is whether the mind was "incapable of alteration", not whether it was empty. Demanding judicial blankness of elected officials would be its own unworldliness, disabling the very accountability (public explanation of policy) that democracy requires. </w:t>
      </w:r>
      <w:r>
        <w:rPr>
          <w:i/>
        </w:rPr>
        <w:t>Ebner</w:t>
      </w:r>
      <w:r>
        <w:t xml:space="preserve"> itself warns that application outside courts "must sometimes recognise and accommodate differences" — calibration, not a single standard. And appearance-based doctrine has costs realism must own: it can be weaponised tactically, and necessity sometimes requires an interested decider to act.</w:t>
      </w:r>
    </w:p>
    <w:p w14:paraId="382A21DB">
      <w:pPr>
        <w:jc w:val="both"/>
      </w:pPr>
      <w:r>
        <w:rPr>
          <w:b/>
        </w:rPr>
        <w:t>Preferred position.</w:t>
      </w:r>
      <w:r>
        <w:t xml:space="preserve"> The synthesis: realism supplies the method (the informed, fair-minded observer who knows how government actually works), institutional context supplies the calibration (judge, tribunal member, official, minister — descending expectations of detachment, rising tolerance of policy commitment), and the line is crossed where commitment becomes closure (</w:t>
      </w:r>
      <w:r>
        <w:rPr>
          <w:i/>
        </w:rPr>
        <w:t>Jia</w:t>
      </w:r>
      <w:r>
        <w:t xml:space="preserve">'s "incapable of alteration" for actual bias; </w:t>
      </w:r>
      <w:r>
        <w:rPr>
          <w:i/>
        </w:rPr>
        <w:t>Ebner</w:t>
      </w:r>
      <w:r>
        <w:t xml:space="preserve">'s real-possibility apprehension for the appearance). On the </w:t>
      </w:r>
      <w:r>
        <w:rPr>
          <w:i/>
        </w:rPr>
        <w:t>Jia</w:t>
      </w:r>
      <w:r>
        <w:t xml:space="preserve"> facts the majority's institutional point is persuasive; on facts like a decision-maker's published condemnation of a specific applicant (</w:t>
      </w:r>
      <w:r>
        <w:rPr>
          <w:i/>
        </w:rPr>
        <w:t>Hendry</w:t>
      </w:r>
      <w:r>
        <w:t>-style), Kirby J's realism prevails within orthodox doctrine. The deepest realist point is Kirby J's own: doctrine retains authority only while its picture of influence matches the world — which is why the social-media cases matter.</w:t>
      </w:r>
    </w:p>
    <w:p w14:paraId="4E4B6128">
      <w:r>
        <w:br w:type="page"/>
      </w:r>
    </w:p>
    <w:p w14:paraId="223F00ED">
      <w:pPr>
        <w:pBdr>
          <w:bottom w:val="single" w:color="1F4E79" w:sz="8" w:space="4"/>
        </w:pBdr>
      </w:pPr>
      <w:r>
        <w:rPr>
          <w:b/>
          <w:color w:val="1F4E79"/>
          <w:sz w:val="32"/>
        </w:rPr>
        <w:t>Essay 16 — Privative Clauses, Outsourcing and the Reach of Supervision</w:t>
      </w:r>
    </w:p>
    <w:p w14:paraId="16420F0F">
      <w:r>
        <w:rPr>
          <w:i/>
          <w:color w:val="595959"/>
          <w:sz w:val="19"/>
        </w:rPr>
        <w:t>Covers: 2017 ("privative clauses... reveal that supervisory jurisdiction will always be available"); 2014 ("how successfully do S157 (Sem 23 s8–10) and Kirk (Sem 23 s11–12) resolve the tensions"); 2014 ("privatisation and outsourcing have diminished the courts' ability to supervise public power").</w:t>
      </w:r>
    </w:p>
    <w:p w14:paraId="4A8B1E74">
      <w:pPr>
        <w:jc w:val="both"/>
      </w:pPr>
      <w:r>
        <w:rPr>
          <w:b/>
        </w:rPr>
        <w:t>Contention.</w:t>
      </w:r>
      <w:r>
        <w:t xml:space="preserve"> </w:t>
      </w:r>
      <w:r>
        <w:rPr>
          <w:i/>
        </w:rPr>
        <w:t>S157</w:t>
      </w:r>
      <w:r>
        <w:t xml:space="preserve"> and </w:t>
      </w:r>
      <w:r>
        <w:rPr>
          <w:i/>
        </w:rPr>
        <w:t>Kirk</w:t>
      </w:r>
      <w:r>
        <w:t xml:space="preserve"> settle that a constitutional minimum of supervision is ineradicable — the 2017 proposition is essentially correct — but the "resolution" is a boundary-shifting one (everything now turns on the jurisdictional/non-jurisdictional line), and the real modern escape from supervision is not the privative clause but the contract: outsourcing succeeds where ouster clauses failed.</w:t>
      </w:r>
    </w:p>
    <w:p w14:paraId="3670ABDD">
      <w:pPr>
        <w:jc w:val="both"/>
      </w:pPr>
      <w:r>
        <w:rPr>
          <w:b/>
        </w:rPr>
        <w:t>The case for the propositions.</w:t>
      </w:r>
      <w:r>
        <w:t xml:space="preserve"> </w:t>
      </w:r>
      <w:r>
        <w:rPr>
          <w:i/>
        </w:rPr>
        <w:t>Plaintiff S157 (Sem 23 s8–10)</w:t>
      </w:r>
      <w:r>
        <w:t xml:space="preserve"> construed the Migration Act's privative clause so that a "decision... under this Act" does not include a purported decision affected by jurisdictional error: the clause and the grounds are reconciled, never collided, and s 75(v) review "cannot be removed by or under a law of the Parliament". </w:t>
      </w:r>
      <w:r>
        <w:rPr>
          <w:i/>
        </w:rPr>
        <w:t>Kirk</w:t>
      </w:r>
      <w:r>
        <w:t xml:space="preserve"> extended the guarantee to the States: supervisory jurisdiction for jurisdictional error is a "defining characteristic" of a Supreme Court, beyond legislative removal. </w:t>
      </w:r>
      <w:r>
        <w:rPr>
          <w:i/>
        </w:rPr>
        <w:t>Graham (Sem 23 s13–15)</w:t>
      </w:r>
      <w:r>
        <w:t xml:space="preserve"> generalised the principle: Parliament cannot deny a court the ability to enforce the limits of an officer's power — including by evidentiary blindfolds, not just express ouster. Together they vindicate the 2017 thesis: the harder Parliament tries, the more clearly the entrenched core appears; the Hickman (Sem 23 s9) provisos (bona fide attempt; relation to subject matter; reasonable reference to power) survive only as construction tools within that frame.</w:t>
      </w:r>
    </w:p>
    <w:p w14:paraId="5902D955">
      <w:pPr>
        <w:jc w:val="both"/>
      </w:pPr>
      <w:r>
        <w:rPr>
          <w:b/>
        </w:rPr>
        <w:t>The case against — the unresolved tensions.</w:t>
      </w:r>
      <w:r>
        <w:t xml:space="preserve"> Three. First, the settlement is candidly fictional: clauses are "read down" to mean almost nothing, honouring parliamentary supremacy in form while defeating it in substance — a tension </w:t>
      </w:r>
      <w:r>
        <w:rPr>
          <w:i/>
        </w:rPr>
        <w:t>managed</w:t>
      </w:r>
      <w:r>
        <w:t xml:space="preserve">, not resolved. Secondly, the load-bearing line — jurisdictional versus non-jurisdictional error — is notoriously manipulable; </w:t>
      </w:r>
      <w:r>
        <w:rPr>
          <w:i/>
        </w:rPr>
        <w:t>Kirk</w:t>
      </w:r>
      <w:r>
        <w:t xml:space="preserve"> itself declined to define it exhaustively, and a privative clause </w:t>
      </w:r>
      <w:r>
        <w:rPr>
          <w:i/>
        </w:rPr>
        <w:t>can</w:t>
      </w:r>
      <w:r>
        <w:t xml:space="preserve"> validly protect non-jurisdictional error of law on the face of the record, so protection turns on a classification the courts control. Thirdly — the 2014 outsourcing point — the guarantee attaches to </w:t>
      </w:r>
      <w:r>
        <w:rPr>
          <w:i/>
        </w:rPr>
        <w:t>officers</w:t>
      </w:r>
      <w:r>
        <w:t xml:space="preserve"> and </w:t>
      </w:r>
      <w:r>
        <w:rPr>
          <w:i/>
        </w:rPr>
        <w:t>statutory power</w:t>
      </w:r>
      <w:r>
        <w:t>: when government delivers functions through companies and contracts, there may be no officer of the Commonwealth (s 75(v)), no "decision under an enactment" (</w:t>
      </w:r>
      <w:r>
        <w:rPr>
          <w:i/>
        </w:rPr>
        <w:t>Tang (Notes)</w:t>
      </w:r>
      <w:r>
        <w:t xml:space="preserve">), and no s 38 "public authority" question ever reached — supervision lapses not because Parliament ousted it but because the form of power changed. </w:t>
      </w:r>
      <w:r>
        <w:rPr>
          <w:i/>
        </w:rPr>
        <w:t>Tang</w:t>
      </w:r>
      <w:r>
        <w:t xml:space="preserve"> is the emblem: the more government acts commercially, the less administrative law sees.</w:t>
      </w:r>
    </w:p>
    <w:p w14:paraId="2A91A4A8">
      <w:pPr>
        <w:jc w:val="both"/>
      </w:pPr>
      <w:r>
        <w:rPr>
          <w:b/>
        </w:rPr>
        <w:t>Preferred position.</w:t>
      </w:r>
      <w:r>
        <w:t xml:space="preserve"> The preferred view: </w:t>
      </w:r>
      <w:r>
        <w:rPr>
          <w:i/>
        </w:rPr>
        <w:t>S157</w:t>
      </w:r>
      <w:r>
        <w:t xml:space="preserve"> and </w:t>
      </w:r>
      <w:r>
        <w:rPr>
          <w:i/>
        </w:rPr>
        <w:t>Kirk</w:t>
      </w:r>
      <w:r>
        <w:t xml:space="preserve"> resolve the privative-clause tension as well as it can be resolved within a system committed simultaneously to parliamentary sovereignty and the rule of law — by converting collision into construction and entrenching a judicially policed minimum. The honest residue is the classification problem, which is the price of the settlement. The outsourcing critique, by contrast, identifies a genuine and growing gap that the constitutional guarantee does not touch; its remedies are legislative (functional definitions like the Charter's s 4 "public authority", contractual transparency obligations, Ombudsman jurisdiction over contractors) rather than doctrinal. The supervisory jurisdiction is always </w:t>
      </w:r>
      <w:r>
        <w:rPr>
          <w:i/>
        </w:rPr>
        <w:t>available</w:t>
      </w:r>
      <w:r>
        <w:t xml:space="preserve"> — but only where public power retains a public form.</w:t>
      </w:r>
    </w:p>
    <w:p w14:paraId="49332EFE">
      <w:pPr>
        <w:jc w:val="both"/>
      </w:pPr>
      <w:r>
        <w:rPr>
          <w:b/>
        </w:rPr>
        <w:t>Variants.</w:t>
      </w:r>
      <w:r>
        <w:t xml:space="preserve"> For 2017, lead with the paradox (attempted ouster proving entrenchment); for 2014 (privative), organise around the two "competing principles" (sovereignty v rule of law) and assess the construction technique; for 2014 (privatisation), put </w:t>
      </w:r>
      <w:r>
        <w:rPr>
          <w:i/>
        </w:rPr>
        <w:t>Tang</w:t>
      </w:r>
      <w:r>
        <w:t xml:space="preserve"> and s 75(v)'s "officer" requirement at the centre with the Charter's functional definition as the counter-model.</w:t>
      </w:r>
    </w:p>
    <w:p w14:paraId="502F2D3D">
      <w:r>
        <w:br w:type="page"/>
      </w:r>
    </w:p>
    <w:p w14:paraId="6EBBFEBE">
      <w:pPr>
        <w:pBdr>
          <w:bottom w:val="single" w:color="1F4E79" w:sz="8" w:space="4"/>
        </w:pBdr>
      </w:pPr>
      <w:r>
        <w:rPr>
          <w:b/>
          <w:color w:val="1F4E79"/>
          <w:sz w:val="32"/>
        </w:rPr>
        <w:t>Essay 17 — The Rule of Law and the Control of Discretion (Kitto J in Ipec-Air)</w:t>
      </w:r>
    </w:p>
    <w:p w14:paraId="318CA332">
      <w:r>
        <w:rPr>
          <w:i/>
          <w:color w:val="595959"/>
          <w:sz w:val="19"/>
        </w:rPr>
        <w:t>Covers: 2021 (Kitto J in R v Anderson; Ex parte Ipec-Air (2021 question) Pty Ltd (1965) 113 CLR 177: a statutory discretion "is intended to be exercised according to the rules of reason and justice, not according to private opinion; according to law, and not humour, and within those limits within which an honest man, competent to discharge the duties of his office, ought to confine himself").</w:t>
      </w:r>
    </w:p>
    <w:p w14:paraId="713F6613">
      <w:pPr>
        <w:jc w:val="both"/>
      </w:pPr>
      <w:r>
        <w:rPr>
          <w:b/>
        </w:rPr>
        <w:t>Contention.</w:t>
      </w:r>
      <w:r>
        <w:t xml:space="preserve"> Kitto J's dictum is the rule of law rendered as a doctrine of discretion: it asserts that no statutory power is truly unfettered, because conferral itself implies limits of reason, purpose and honesty. The modern grounds of review are, in substance, an elaboration of that single sentence — but the dictum also conceals the central difficulty, namely who decides what "reason and justice" require, and the modern law's answer (the legislature's implied intention, policed within stringent limits) honours Kitto J while disciplining him.</w:t>
      </w:r>
    </w:p>
    <w:p w14:paraId="1D08E11E">
      <w:pPr>
        <w:jc w:val="both"/>
      </w:pPr>
      <w:r>
        <w:rPr>
          <w:b/>
        </w:rPr>
        <w:t>The case for the dictum as the law's foundation.</w:t>
      </w:r>
      <w:r>
        <w:t xml:space="preserve"> Each phrase has become a ground. "According to the rules of reason": the legislature is taken to intend that a discretion be exercised reasonably (</w:t>
      </w:r>
      <w:r>
        <w:rPr>
          <w:i/>
        </w:rPr>
        <w:t>Quin; Li; SZVFW (Sem 21 s9)</w:t>
      </w:r>
      <w:r>
        <w:t>), and a decision lacking an evident and intelligible justification exceeds the implied limit (</w:t>
      </w:r>
      <w:r>
        <w:rPr>
          <w:i/>
        </w:rPr>
        <w:t>Li</w:t>
      </w:r>
      <w:r>
        <w:t xml:space="preserve"> (Sem 21 s9–14)); irrationality in the formation of a statutory state of satisfaction is jurisdictional (</w:t>
      </w:r>
      <w:r>
        <w:rPr>
          <w:i/>
        </w:rPr>
        <w:t>SZMDS (Sem 20 s7–11)</w:t>
      </w:r>
      <w:r>
        <w:t>). "Not according to private opinion": the rule against acting on personal interest or prejudgment is the bias doctrine (</w:t>
      </w:r>
      <w:r>
        <w:rPr>
          <w:i/>
        </w:rPr>
        <w:t>Ebner (Sem 15 s10–12); Jia (Sem 15 s7–9)</w:t>
      </w:r>
      <w:r>
        <w:t>), and acting at another's behest is dictation. "According to law, and not humour": improper purpose (</w:t>
      </w:r>
      <w:r>
        <w:rPr>
          <w:i/>
        </w:rPr>
        <w:t>Toohey (Sem 17 s7–8)</w:t>
      </w:r>
      <w:r>
        <w:t xml:space="preserve"> — power only for the purposes for which it is conferred, even where widely framed: </w:t>
      </w:r>
      <w:r>
        <w:rPr>
          <w:i/>
        </w:rPr>
        <w:t>Schlieske (Sem 19 s6)</w:t>
      </w:r>
      <w:r>
        <w:t>), irrelevant considerations (</w:t>
      </w:r>
      <w:r>
        <w:rPr>
          <w:i/>
        </w:rPr>
        <w:t>Peko-Wallsend (Sem 17 s14–16)</w:t>
      </w:r>
      <w:r>
        <w:t>), and bad faith are all names for "humour" in office. "Within those limits within which an honest man... ought to confine himself": the implied conditions whose breach is jurisdictional error (</w:t>
      </w:r>
      <w:r>
        <w:rPr>
          <w:i/>
        </w:rPr>
        <w:t>LPDT (Sem 11–12)</w:t>
      </w:r>
      <w:r>
        <w:t>) — the modern, construction-based form of the same idea. The dictum also explains the system's deepest commitments: if conferral implies limits, then there can be no "island of power" immune from supervision — which is why review of jurisdictional error is entrenched against privative clauses (</w:t>
      </w:r>
      <w:r>
        <w:rPr>
          <w:i/>
        </w:rPr>
        <w:t>Plaintiff S157 (Sem 23 s8–10); Kirk (Sem 23 s11–12); Graham (Sem 23 s13–15)</w:t>
      </w:r>
      <w:r>
        <w:t>: Parliament cannot deny the courts the ability to enforce the limits of an officer's power).</w:t>
      </w:r>
    </w:p>
    <w:p w14:paraId="2413555B">
      <w:pPr>
        <w:jc w:val="both"/>
      </w:pPr>
      <w:r>
        <w:rPr>
          <w:b/>
        </w:rPr>
        <w:t>The case against — the dictum's concealed difficulties.</w:t>
      </w:r>
      <w:r>
        <w:t xml:space="preserve"> First, indeterminacy: "reason and justice" supply a vocabulary, not a standard; without more, the dictum licenses judges to substitute their own opinion for the repository's — the very vice it condemns, merely relocated. The modern law's response concedes the problem: unreasonableness is "necessarily stringent" (</w:t>
      </w:r>
      <w:r>
        <w:rPr>
          <w:i/>
        </w:rPr>
        <w:t>SZVFW</w:t>
      </w:r>
      <w:r>
        <w:t>), weight is for the decision-maker (</w:t>
      </w:r>
      <w:r>
        <w:rPr>
          <w:i/>
        </w:rPr>
        <w:t>Peko-Wallsend</w:t>
      </w:r>
      <w:r>
        <w:t>), and the merits belong to the repository "and no further" (</w:t>
      </w:r>
      <w:r>
        <w:rPr>
          <w:i/>
        </w:rPr>
        <w:t>Quin</w:t>
      </w:r>
      <w:r>
        <w:t>). Secondly, source: Kitto J spoke as if the limits came from a general law of office-holding; the contemporary High Court insists they come from the particular statute, construed (</w:t>
      </w:r>
      <w:r>
        <w:rPr>
          <w:i/>
        </w:rPr>
        <w:t>LPDT; Project Blue Sky (Sem 11 s9–11)</w:t>
      </w:r>
      <w:r>
        <w:t>) — a more democratic but more contingent foundation, since what construction implies, drafting can (within constitutional limits) exclude. Thirdly, the dictum over-promises: "justice" is precisely what judicial review does not guarantee — a lawful decision may still be unjust (</w:t>
      </w:r>
      <w:r>
        <w:rPr>
          <w:i/>
        </w:rPr>
        <w:t>Quin</w:t>
      </w:r>
      <w:r>
        <w:t>; Essay 6's "lawful but wrong"), and the honest officer's limits do not include getting it right.</w:t>
      </w:r>
    </w:p>
    <w:p w14:paraId="5D9282FF">
      <w:pPr>
        <w:jc w:val="both"/>
      </w:pPr>
      <w:r>
        <w:rPr>
          <w:b/>
        </w:rPr>
        <w:t>Preferred position.</w:t>
      </w:r>
      <w:r>
        <w:t xml:space="preserve"> The dictum should be embraced as the normative core of the field, with the modern law read as its disciplined implementation rather than its dilution. The two qualifications work together: grounding the limits in statutory construction (rather than free-standing "reason and justice") answers the democratic objection by attributing the limits to Parliament; the stringency of the thresholds (</w:t>
      </w:r>
      <w:r>
        <w:rPr>
          <w:i/>
        </w:rPr>
        <w:t>SZVFW; SZMDS</w:t>
      </w:r>
      <w:r>
        <w:t>) answers the substitution objection by confining the courts to policing, not exercising, the discretion. What survives untouched is the dictum's central claim — that "unfettered discretion" is a contradiction in a legal system: every grant of power carries its limits within it, and the rule of law consists in courts being able, always (</w:t>
      </w:r>
      <w:r>
        <w:rPr>
          <w:i/>
        </w:rPr>
        <w:t>S157; Kirk</w:t>
      </w:r>
      <w:r>
        <w:t>), to hold the repository to them. Kitto J's honest officer is, in the end, the figure the whole apparatus of judicial review exists to presuppose — and, where necessary, to replace.</w:t>
      </w:r>
    </w:p>
    <w:p w14:paraId="558F4592">
      <w:r>
        <w:br w:type="page"/>
      </w:r>
    </w:p>
    <w:p w14:paraId="37855B29">
      <w:pPr>
        <w:pBdr>
          <w:bottom w:val="single" w:color="1F4E79" w:sz="8" w:space="4"/>
        </w:pBdr>
      </w:pPr>
      <w:r>
        <w:rPr>
          <w:b/>
          <w:color w:val="1F4E79"/>
          <w:sz w:val="32"/>
        </w:rPr>
        <w:t>Work &amp; QA Report</w:t>
      </w:r>
    </w:p>
    <w:p w14:paraId="499339DA">
      <w:pPr>
        <w:jc w:val="both"/>
      </w:pPr>
      <w:r>
        <w:rPr>
          <w:b/>
        </w:rPr>
        <w:t>Process.</w:t>
      </w:r>
      <w:r>
        <w:t xml:space="preserve"> The 33 questions in 'Essay questions.docx' were grouped into 17 themes; one full model essay was written per theme using the required method (contention; case for; case against; preferred position), with variant notes adapting each essay to the specific years' phrasings. Authorities were drawn from the course knowledge bases (review notes, structure document, seminar slides 1–6 and 8–24, and the prior hypothetical work).</w:t>
      </w:r>
    </w:p>
    <w:p w14:paraId="7FD00470">
      <w:pPr>
        <w:jc w:val="both"/>
      </w:pPr>
      <w:r>
        <w:rPr>
          <w:b/>
        </w:rPr>
        <w:t>QA cycle.</w:t>
      </w:r>
      <w:r>
        <w:t xml:space="preserve"> An examiner-level QA agent reviewed the full set against (a) question coverage, (b) the required method, (c) legal accuracy of every case proposition, (d) HD-level depth (presence of the high-value doctrinal moves), and (e) exam-realistic length. Verdict: REWORK, with these required fixes — all implemented: a new Essay 17 for the uncovered 2021 Kitto/Ipec-Air rule-of-law question; removal of a garbled reference in the Li essay; correction of the 'eye keenly attuned' attribution to Wu Shan Liang (adopting Pozzolanic, restated in Plaintiff M1); and alignment of the LPDT pin-cite to the course's [4]–[6]. Eight recommended enhancements were also implemented (Hot Holdings; EPBC s 487; Ombudsman Act s 15; Charter s 39(3); Boilermakers; the Quin dictum; variant notes for Essays 9 and 13). One QA suggestion was overridden with better information: the reviewer queried Pattenden, which is in fact the course's Seminar 16 delegation authority and was retained.</w:t>
      </w:r>
    </w:p>
    <w:p w14:paraId="2C1D25EA">
      <w:pPr>
        <w:jc w:val="both"/>
      </w:pPr>
      <w:r>
        <w:rPr>
          <w:b/>
        </w:rPr>
        <w:t>Verification.</w:t>
      </w:r>
      <w:r>
        <w:t xml:space="preserve"> A second QA pass confirmed all fixes landed, the new essay is complete and methodologically compliant, and formatting is intact. Final verdict: </w:t>
      </w:r>
      <w:r>
        <w:rPr>
          <w:b/>
        </w:rPr>
        <w:t>PASS at High Distinction standard</w:t>
      </w:r>
      <w:r>
        <w:t>. Coverage: 32 of 33 questions fully covered; the remaining entry (“2024 MR”) has no question text in the compiled document and is flagged for the user to check.</w:t>
      </w:r>
    </w:p>
    <w:p w14:paraId="5ACF2F7A">
      <w:pPr>
        <w:jc w:val="both"/>
      </w:pPr>
      <w:r>
        <w:rPr>
          <w:b/>
        </w:rPr>
        <w:t>Citation-compliance audit.</w:t>
      </w:r>
      <w:r>
        <w:t xml:space="preserve"> Because the exam permits citing only cases that appear in the course slides or notes, an allow-list of every case in the 23 available seminar decks and the two notes documents was compiled, and every authority in every essay was audited against it. Three out-of-syllabus authorities introduced as enrichment were removed and replaced with permitted equivalents — Wu Shan Liang and Pozzolanic (the reasons-restraint point now rests on Plaintiff M1 and Peko-Wallsend), and Boilermakers (the Chapter III point now rests on Plaintiff S157 and Kirk) — and two out-of-syllabus statutory pinpoints were generalised (an EPBC open-standing reference; the Ombudsman Act section number). A final independent audit confirmed every one of the 51 distinct cases cited is on the allow-list, the three prohibited cases are absent, and all statutes are within the syllabus. The only authority cited that is not in the slides or notes is R v Anderson; Ex parte Ipec-Air, which is permitted because it is the case quoted in the 2021 exam question itself, and it is confined to Essay 17.</w:t>
      </w:r>
    </w:p>
    <w:p w14:paraId="0E36C23A">
      <w:pPr>
        <w:jc w:val="both"/>
      </w:pPr>
      <w:r>
        <w:rPr>
          <w:b/>
        </w:rPr>
        <w:t>Slide pinpoint pass (v3).</w:t>
      </w:r>
      <w:r>
        <w:t xml:space="preserve"> Concise shorthand slide pinpoints were added inline at the first mention of each case in each essay — e.g. (Sem 21 s9) — mapping every authority to where it is taught in the seminar decks, or (Notes) for cases that appear only in the student notes, or (2021 question) for the single case quoted in an exam question (Ipec-Air, Essay 17). A verified case→slide index was built by scanning all 23 available decks, and an independent QA pass confirmed all ~50 distinct case→pinpoint mappings are accurate against the slides (no Seminar 7 reference is used, as that deck is missing from the folder). The Charter ‘proper consideration’ passage in Essay 5 was also re-pinpointed at sentence level, correcting the lead attribution so that the ‘higher than common law’ holding is carried by Thompson v Minogue (Sem 18 s17), the two-limb structure by Tate JA in Bare (Sem 18 s8), and the four-limb HJ test by Thompson (Sem 18 s18).</w:t>
      </w:r>
      <w:bookmarkStart w:id="0" w:name="_GoBack"/>
      <w:bookmarkEnd w:id="0"/>
    </w:p>
    <w:sectPr>
      <w:headerReference r:id="rId5" w:type="default"/>
      <w:footerReference r:id="rId6"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B2842B">
    <w:pPr>
      <w:pStyle w:val="18"/>
      <w:jc w:val="center"/>
    </w:pPr>
    <w:r>
      <w:rPr>
        <w:color w:val="595959"/>
        <w:sz w:val="16"/>
      </w:rPr>
      <w:t xml:space="preserve">Page </w:t>
    </w:r>
    <w:r>
      <w:rPr>
        <w:color w:val="595959"/>
        <w:sz w:val="16"/>
      </w:rPr>
      <w:fldChar w:fldCharType="begin"/>
    </w:r>
    <w:r>
      <w:rPr>
        <w:color w:val="595959"/>
        <w:sz w:val="16"/>
      </w:rPr>
      <w:instrText xml:space="preserve">PAGE</w:instrText>
    </w:r>
    <w:r>
      <w:rPr>
        <w:color w:val="595959"/>
        <w:sz w:val="16"/>
      </w:rPr>
      <w:fldChar w:fldCharType="end"/>
    </w:r>
    <w:r>
      <w:rPr>
        <w:color w:val="595959"/>
        <w:sz w:val="16"/>
      </w:rPr>
      <w:t xml:space="preserve"> of </w:t>
    </w:r>
    <w:r>
      <w:rPr>
        <w:color w:val="595959"/>
        <w:sz w:val="16"/>
      </w:rPr>
      <w:fldChar w:fldCharType="begin"/>
    </w:r>
    <w:r>
      <w:rPr>
        <w:color w:val="595959"/>
        <w:sz w:val="16"/>
      </w:rPr>
      <w:instrText xml:space="preserve">NUMPAGES</w:instrText>
    </w:r>
    <w:r>
      <w:rPr>
        <w:color w:val="595959"/>
        <w:sz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103AC6">
    <w:pPr>
      <w:pStyle w:val="19"/>
      <w:jc w:val="right"/>
    </w:pPr>
    <w:r>
      <w:rPr>
        <w:i/>
        <w:color w:val="595959"/>
        <w:sz w:val="16"/>
      </w:rPr>
      <w:t>Administrative Law — Part B Model Essays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7E6150"/>
    <w:rsid w:val="2E3E5B9F"/>
    <w:rsid w:val="4222718C"/>
    <w:rsid w:val="5CD844D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Calibri" w:hAnsi="Calibr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32</Pages>
  <Words>0</Words>
  <Characters>0</Characters>
  <Lines>0</Lines>
  <Paragraphs>0</Paragraphs>
  <TotalTime>515</TotalTime>
  <ScaleCrop>false</ScaleCrop>
  <LinksUpToDate>false</LinksUpToDate>
  <CharactersWithSpaces>0</CharactersWithSpaces>
  <Application>WPS Office_12.9.0.21549_F1E327BC-269C-435d-A152-05C5408002CA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Raymond Zheng</cp:lastModifiedBy>
  <dcterms:modified xsi:type="dcterms:W3CDTF">2026-06-09T10:05:22Z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1033-12.9.0.21549</vt:lpwstr>
  </property>
  <property fmtid="{D5CDD505-2E9C-101B-9397-08002B2CF9AE}" pid="3" name="ICV">
    <vt:lpwstr>1F211D4CA838434AA99F3506CA6AB0FD_12</vt:lpwstr>
  </property>
</Properties>
</file>