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2BE8D">
      <w:pPr>
        <w:spacing w:before="120"/>
        <w:jc w:val="center"/>
      </w:pPr>
      <w:r>
        <w:rPr>
          <w:b/>
          <w:color w:val="1F4E79"/>
          <w:sz w:val="36"/>
        </w:rPr>
        <w:t>ADMINISTRATIVE LAW — JUDICIAL REVIEW</w:t>
      </w:r>
    </w:p>
    <w:p w14:paraId="0D6BBDE8">
      <w:pPr>
        <w:jc w:val="center"/>
      </w:pPr>
      <w:r>
        <w:rPr>
          <w:color w:val="595959"/>
          <w:sz w:val="23"/>
        </w:rPr>
        <w:t>Practice Hypothetical and Model Answer — Cat Act 2005 (Vic), Supreme Court of Victoria</w:t>
      </w:r>
    </w:p>
    <w:p w14:paraId="564C098C">
      <w:pPr>
        <w:spacing w:after="120"/>
        <w:jc w:val="center"/>
      </w:pPr>
      <w:r>
        <w:rPr>
          <w:i/>
          <w:color w:val="595959"/>
          <w:sz w:val="17"/>
        </w:rPr>
        <w:t>Prepared for Raymond · 7 June 2026 · Grounded in the course notes, seminar slides (Sem 1–6, 8–24) and past exams; 'FOR REVIEW' flags mark points outside those materials</w:t>
      </w:r>
    </w:p>
    <w:p w14:paraId="29A69BC1">
      <w:pPr>
        <w:pBdr>
          <w:bottom w:val="single" w:color="1F4E79" w:sz="8" w:space="4"/>
        </w:pBdr>
        <w:spacing w:before="200" w:after="40"/>
      </w:pPr>
      <w:r>
        <w:rPr>
          <w:b/>
          <w:color w:val="1F4E79"/>
          <w:sz w:val="26"/>
        </w:rPr>
        <w:t>EXAM TIME GUIDE — writing starts 9:00am, finishes 10:45am (1 h 45 m)</w:t>
      </w:r>
    </w:p>
    <w:p w14:paraId="4759A1B7">
      <w:pPr>
        <w:jc w:val="both"/>
      </w:pPr>
      <w:r>
        <w:rPr>
          <w:sz w:val="19"/>
        </w:rPr>
        <w:t>Writing time only — reading and revision are budgeted separately. Equal 5-minute blocks, with the strongest-ground assessment at 1.5x (7.5 minutes), placed before the breach analysis to mirror the answer's structure. Within each block: ~30s Issue, ~90s Rule, ~2.5 min Application, ~30s Conclusion.</w:t>
      </w:r>
    </w:p>
    <w:p w14:paraId="7EEA1F94">
      <w:pPr>
        <w:pStyle w:val="23"/>
        <w:spacing w:after="0"/>
      </w:pPr>
      <w:r>
        <w:rPr>
          <w:b/>
          <w:color w:val="1F4E79"/>
          <w:sz w:val="19"/>
        </w:rPr>
        <w:t xml:space="preserve">9:00–9:05  </w:t>
      </w:r>
      <w:r>
        <w:rPr>
          <w:sz w:val="19"/>
        </w:rPr>
        <w:t>Jurisdiction — SCV inherent (Kirk; s 85); Order 56 (60 days) vs ALA (30 days); timing</w:t>
      </w:r>
    </w:p>
    <w:p w14:paraId="185E19BD">
      <w:pPr>
        <w:pStyle w:val="23"/>
        <w:spacing w:after="0"/>
      </w:pPr>
      <w:r>
        <w:rPr>
          <w:b/>
          <w:color w:val="1F4E79"/>
          <w:sz w:val="19"/>
        </w:rPr>
        <w:t xml:space="preserve">9:05–9:10  </w:t>
      </w:r>
      <w:r>
        <w:rPr>
          <w:sz w:val="19"/>
        </w:rPr>
        <w:t>Remedies (Part I) — certiorari, mandamus, urgent injunction (Maximus), declarations, return of cats</w:t>
      </w:r>
    </w:p>
    <w:p w14:paraId="0A468E75">
      <w:pPr>
        <w:pStyle w:val="23"/>
        <w:spacing w:after="0"/>
      </w:pPr>
      <w:r>
        <w:rPr>
          <w:b/>
          <w:color w:val="1F4E79"/>
          <w:sz w:val="19"/>
        </w:rPr>
        <w:t xml:space="preserve">9:10–9:15  </w:t>
      </w:r>
      <w:r>
        <w:rPr>
          <w:sz w:val="19"/>
        </w:rPr>
        <w:t>Standing — applicant (clear) + third-party group (ACF/Onus special interest)</w:t>
      </w:r>
    </w:p>
    <w:p w14:paraId="5571AC5A">
      <w:pPr>
        <w:pStyle w:val="23"/>
        <w:spacing w:after="0"/>
      </w:pPr>
      <w:r>
        <w:rPr>
          <w:b/>
          <w:color w:val="1F4E79"/>
          <w:sz w:val="19"/>
        </w:rPr>
        <w:t xml:space="preserve">9:15–9:20  </w:t>
      </w:r>
      <w:r>
        <w:rPr>
          <w:sz w:val="19"/>
        </w:rPr>
        <w:t>Ground: Without authority / excess of power + error of law (merged — same record errors)</w:t>
      </w:r>
    </w:p>
    <w:p w14:paraId="4D953EB4">
      <w:pPr>
        <w:pStyle w:val="23"/>
        <w:spacing w:after="0"/>
      </w:pPr>
      <w:r>
        <w:rPr>
          <w:b/>
          <w:color w:val="1F4E79"/>
          <w:sz w:val="19"/>
        </w:rPr>
        <w:t xml:space="preserve">9:20–9:25  </w:t>
      </w:r>
      <w:r>
        <w:rPr>
          <w:sz w:val="19"/>
        </w:rPr>
        <w:t>Ground: Improper purpose</w:t>
      </w:r>
    </w:p>
    <w:p w14:paraId="662CDFA6">
      <w:pPr>
        <w:pStyle w:val="23"/>
        <w:spacing w:after="0"/>
      </w:pPr>
      <w:r>
        <w:rPr>
          <w:b/>
          <w:color w:val="1F4E79"/>
          <w:sz w:val="19"/>
        </w:rPr>
        <w:t xml:space="preserve">9:25–9:30  </w:t>
      </w:r>
      <w:r>
        <w:rPr>
          <w:sz w:val="19"/>
        </w:rPr>
        <w:t>Ground: Relevant consideration (unread expert material)</w:t>
      </w:r>
    </w:p>
    <w:p w14:paraId="12E33BF5">
      <w:pPr>
        <w:pStyle w:val="23"/>
        <w:spacing w:after="0"/>
      </w:pPr>
      <w:r>
        <w:rPr>
          <w:b/>
          <w:color w:val="1F4E79"/>
          <w:sz w:val="19"/>
        </w:rPr>
        <w:t xml:space="preserve">9:30–9:35  </w:t>
      </w:r>
      <w:r>
        <w:rPr>
          <w:sz w:val="19"/>
        </w:rPr>
        <w:t>Ground: Irrelevant consideration (anonymous posts; extraneous matters)</w:t>
      </w:r>
    </w:p>
    <w:p w14:paraId="59B8DF84">
      <w:pPr>
        <w:pStyle w:val="23"/>
        <w:spacing w:after="0"/>
      </w:pPr>
      <w:r>
        <w:rPr>
          <w:b/>
          <w:color w:val="1F4E79"/>
          <w:sz w:val="19"/>
        </w:rPr>
        <w:t xml:space="preserve">9:35–9:40  </w:t>
      </w:r>
      <w:r>
        <w:rPr>
          <w:sz w:val="19"/>
        </w:rPr>
        <w:t>Ground: Invalid delegation + acting under dictation</w:t>
      </w:r>
    </w:p>
    <w:p w14:paraId="0A640F62">
      <w:pPr>
        <w:pStyle w:val="23"/>
        <w:spacing w:after="0"/>
      </w:pPr>
      <w:r>
        <w:rPr>
          <w:b/>
          <w:color w:val="1F4E79"/>
          <w:sz w:val="19"/>
        </w:rPr>
        <w:t xml:space="preserve">9:40–9:45  </w:t>
      </w:r>
      <w:r>
        <w:rPr>
          <w:sz w:val="19"/>
        </w:rPr>
        <w:t>Ground: Procedural fairness — hearing rule</w:t>
      </w:r>
    </w:p>
    <w:p w14:paraId="0E99F2FD">
      <w:pPr>
        <w:pStyle w:val="23"/>
        <w:spacing w:after="0"/>
      </w:pPr>
      <w:r>
        <w:rPr>
          <w:b/>
          <w:color w:val="1F4E79"/>
          <w:sz w:val="19"/>
        </w:rPr>
        <w:t xml:space="preserve">9:45–9:50  </w:t>
      </w:r>
      <w:r>
        <w:rPr>
          <w:sz w:val="19"/>
        </w:rPr>
        <w:t>Ground: Procedural fairness — bias (actual discounted quickly, then apprehended, two-step)</w:t>
      </w:r>
    </w:p>
    <w:p w14:paraId="571DEDD2">
      <w:pPr>
        <w:pStyle w:val="23"/>
        <w:spacing w:after="0"/>
      </w:pPr>
      <w:r>
        <w:rPr>
          <w:b/>
          <w:color w:val="1F4E79"/>
          <w:sz w:val="19"/>
        </w:rPr>
        <w:t xml:space="preserve">9:50–9:55  </w:t>
      </w:r>
      <w:r>
        <w:rPr>
          <w:sz w:val="19"/>
        </w:rPr>
        <w:t>Ground: Objective jurisdictional fact + no-evidence (twin characterisations of the conviction)</w:t>
      </w:r>
    </w:p>
    <w:p w14:paraId="608B2E19">
      <w:pPr>
        <w:pStyle w:val="23"/>
        <w:spacing w:after="0"/>
      </w:pPr>
      <w:r>
        <w:rPr>
          <w:b/>
          <w:color w:val="1F4E79"/>
          <w:sz w:val="19"/>
        </w:rPr>
        <w:t xml:space="preserve">9:55–10:00  </w:t>
      </w:r>
      <w:r>
        <w:rPr>
          <w:sz w:val="19"/>
        </w:rPr>
        <w:t>Ground: Subjective jurisdictional fact (SZMDS two approaches)</w:t>
      </w:r>
    </w:p>
    <w:p w14:paraId="601757DB">
      <w:pPr>
        <w:pStyle w:val="23"/>
        <w:spacing w:after="0"/>
      </w:pPr>
      <w:r>
        <w:rPr>
          <w:b/>
          <w:color w:val="1F4E79"/>
          <w:sz w:val="19"/>
        </w:rPr>
        <w:t xml:space="preserve">10:00–10:05  </w:t>
      </w:r>
      <w:r>
        <w:rPr>
          <w:sz w:val="19"/>
        </w:rPr>
        <w:t>Ground: Unreasonableness (Li; Quin boundary)</w:t>
      </w:r>
    </w:p>
    <w:p w14:paraId="56EC9E4B">
      <w:pPr>
        <w:pStyle w:val="23"/>
        <w:spacing w:after="0"/>
      </w:pPr>
      <w:r>
        <w:rPr>
          <w:b/>
          <w:color w:val="1F4E79"/>
          <w:sz w:val="19"/>
        </w:rPr>
        <w:t xml:space="preserve">10:05–10:10  </w:t>
      </w:r>
      <w:r>
        <w:rPr>
          <w:sz w:val="19"/>
        </w:rPr>
        <w:t>Ground: Inflexible policy / fettering</w:t>
      </w:r>
    </w:p>
    <w:p w14:paraId="40641A77">
      <w:pPr>
        <w:pStyle w:val="23"/>
        <w:spacing w:after="0"/>
      </w:pPr>
      <w:r>
        <w:rPr>
          <w:b/>
          <w:color w:val="1F4E79"/>
          <w:sz w:val="19"/>
        </w:rPr>
        <w:t xml:space="preserve">10:10–10:15  </w:t>
      </w:r>
      <w:r>
        <w:rPr>
          <w:sz w:val="19"/>
        </w:rPr>
        <w:t>Ground: Ultra vires regulation (two-step; read-down vs invalidity)</w:t>
      </w:r>
    </w:p>
    <w:p w14:paraId="00F5A858">
      <w:pPr>
        <w:pStyle w:val="23"/>
        <w:spacing w:after="0"/>
      </w:pPr>
      <w:r>
        <w:rPr>
          <w:b/>
          <w:color w:val="1F4E79"/>
          <w:sz w:val="19"/>
        </w:rPr>
        <w:t xml:space="preserve">10:15–10:20  </w:t>
      </w:r>
      <w:r>
        <w:rPr>
          <w:sz w:val="19"/>
        </w:rPr>
        <w:t>Ground: Charter (s 38 limbs; four-step; s 7(2); s 39 piggy-back)</w:t>
      </w:r>
    </w:p>
    <w:p w14:paraId="52ED2FEA">
      <w:pPr>
        <w:pStyle w:val="23"/>
        <w:spacing w:after="0"/>
      </w:pPr>
      <w:r>
        <w:rPr>
          <w:b/>
          <w:color w:val="1F4E79"/>
          <w:sz w:val="19"/>
        </w:rPr>
        <w:t xml:space="preserve">10:25–10:32:30  </w:t>
      </w:r>
      <w:r>
        <w:rPr>
          <w:sz w:val="19"/>
        </w:rPr>
        <w:t>STRONGEST GROUND — comparative assessment (1.5x): rank grounds; 'any one sufficient?'; pleading order</w:t>
      </w:r>
    </w:p>
    <w:p w14:paraId="117F5487">
      <w:pPr>
        <w:pStyle w:val="23"/>
        <w:spacing w:after="0"/>
      </w:pPr>
      <w:r>
        <w:rPr>
          <w:b/>
          <w:color w:val="1F4E79"/>
          <w:sz w:val="19"/>
        </w:rPr>
        <w:t xml:space="preserve">10:32:30–10:37:30  </w:t>
      </w:r>
      <w:r>
        <w:rPr>
          <w:sz w:val="19"/>
        </w:rPr>
        <w:t>Breach &amp; consequences — PBS step 1; LPDT materiality; bias/unreasonableness exempt; Bhardwaj</w:t>
      </w:r>
    </w:p>
    <w:p w14:paraId="601C93E3">
      <w:pPr>
        <w:pStyle w:val="23"/>
        <w:spacing w:after="0"/>
      </w:pPr>
      <w:r>
        <w:rPr>
          <w:b/>
          <w:color w:val="1F4E79"/>
          <w:sz w:val="19"/>
        </w:rPr>
        <w:t xml:space="preserve">10:37:30–10:40  </w:t>
      </w:r>
      <w:r>
        <w:rPr>
          <w:sz w:val="19"/>
        </w:rPr>
        <w:t>Remedies (Part II) + overall conclusion (confirmatory once breach is done)</w:t>
      </w:r>
    </w:p>
    <w:p w14:paraId="103F0B32">
      <w:pPr>
        <w:pStyle w:val="23"/>
        <w:spacing w:after="0"/>
      </w:pPr>
      <w:r>
        <w:rPr>
          <w:b/>
          <w:color w:val="1F4E79"/>
          <w:sz w:val="19"/>
        </w:rPr>
        <w:t xml:space="preserve">10:40–10:45  </w:t>
      </w:r>
      <w:r>
        <w:rPr>
          <w:sz w:val="19"/>
        </w:rPr>
        <w:t>Question 2 — privative clause (Kirk; reading down; s 85(5); what survives)</w:t>
      </w:r>
    </w:p>
    <w:p w14:paraId="263BF317">
      <w:pPr>
        <w:spacing w:before="80"/>
        <w:jc w:val="both"/>
      </w:pPr>
      <w:r>
        <w:rPr>
          <w:i/>
          <w:color w:val="595959"/>
          <w:sz w:val="18"/>
        </w:rPr>
        <w:t>Flex rule: recover any overrun from subjective JF (9:55) or the disposals tail (10:20) — never from delegation (9:35), bias (9:45) or the strongest-ground block (10:25), which carry the case.</w:t>
      </w:r>
    </w:p>
    <w:p w14:paraId="0EA09803">
      <w:pPr>
        <w:rPr>
          <w:b/>
          <w:color w:val="1F4E79"/>
          <w:sz w:val="34"/>
        </w:rPr>
      </w:pPr>
      <w:r>
        <w:rPr>
          <w:b/>
          <w:color w:val="1F4E79"/>
          <w:sz w:val="34"/>
        </w:rPr>
        <w:br w:type="page"/>
      </w:r>
    </w:p>
    <w:p w14:paraId="537D9590">
      <w:pPr>
        <w:rPr>
          <w:rFonts w:hint="default"/>
          <w:b/>
          <w:color w:val="1F4E79"/>
          <w:sz w:val="28"/>
          <w:szCs w:val="20"/>
          <w:lang w:val="en-AU"/>
        </w:rPr>
      </w:pPr>
      <w:r>
        <w:rPr>
          <w:rFonts w:hint="default"/>
          <w:b/>
          <w:color w:val="1F4E79"/>
          <w:sz w:val="28"/>
          <w:szCs w:val="20"/>
          <w:lang w:val="en-AU"/>
        </w:rPr>
        <w:t xml:space="preserve">Cat Act Purpose </w:t>
      </w:r>
    </w:p>
    <w:p w14:paraId="0297E80C">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s3 The purpose of this Act is limited to:</w:t>
      </w:r>
    </w:p>
    <w:p w14:paraId="31E50AD5">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(a) identifying and recording domestic cats;</w:t>
      </w:r>
    </w:p>
    <w:p w14:paraId="69F7187F">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(b) promoting and encouraging the responsible ownership of cats to ensure cats are not subject to mistreatment or neglect.</w:t>
      </w:r>
    </w:p>
    <w:p w14:paraId="30E296A8">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(c) avoiding methods of confinement, restraint, or catching of cats that cause unnecessary harm</w:t>
      </w:r>
    </w:p>
    <w:p w14:paraId="3DB43DB8">
      <w:pPr>
        <w:rPr>
          <w:rFonts w:hint="default"/>
          <w:b/>
          <w:color w:val="000000" w:themeColor="text1"/>
          <w:sz w:val="21"/>
          <w:szCs w:val="21"/>
          <w:lang w:val="en-AU"/>
          <w14:textFill>
            <w14:solidFill>
              <w14:schemeClr w14:val="tx1"/>
            </w14:solidFill>
          </w14:textFill>
        </w:rPr>
      </w:pPr>
    </w:p>
    <w:p w14:paraId="23A0C9AC">
      <w:pPr>
        <w:rPr>
          <w:rFonts w:hint="default"/>
          <w:b/>
          <w:color w:val="1F4E79"/>
          <w:sz w:val="28"/>
          <w:szCs w:val="20"/>
        </w:rPr>
      </w:pPr>
      <w:r>
        <w:rPr>
          <w:rFonts w:hint="default"/>
          <w:b/>
          <w:color w:val="1F4E79"/>
          <w:sz w:val="28"/>
          <w:szCs w:val="20"/>
        </w:rPr>
        <w:t>Part 2 — Registration, identification and sterilisation of cats</w:t>
      </w:r>
    </w:p>
    <w:p w14:paraId="3296177B">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1 — Registration and tagging</w:t>
      </w:r>
    </w:p>
    <w:p w14:paraId="6DF7C3A2">
      <w:pPr>
        <w:pStyle w:val="23"/>
        <w:bidi w:val="0"/>
        <w:ind w:left="360" w:leftChars="0" w:hanging="360" w:firstLineChars="0"/>
        <w:rPr>
          <w:rFonts w:hint="default"/>
          <w:sz w:val="20"/>
          <w:szCs w:val="20"/>
          <w:lang w:val="en-AU"/>
        </w:rPr>
      </w:pPr>
      <w:r>
        <w:rPr>
          <w:rFonts w:hint="default"/>
          <w:sz w:val="20"/>
          <w:szCs w:val="20"/>
          <w:lang w:val="en-AU"/>
        </w:rPr>
        <w:t>Subdivision 1 — Cats must be registered and tagged</w:t>
      </w:r>
    </w:p>
    <w:p w14:paraId="0E3FF299">
      <w:pPr>
        <w:pStyle w:val="23"/>
        <w:bidi w:val="0"/>
        <w:ind w:left="360" w:leftChars="0" w:hanging="360" w:firstLineChars="0"/>
        <w:rPr>
          <w:rFonts w:hint="default"/>
          <w:sz w:val="20"/>
          <w:szCs w:val="20"/>
          <w:lang w:val="en-AU"/>
        </w:rPr>
      </w:pPr>
      <w:r>
        <w:rPr>
          <w:rFonts w:hint="default"/>
          <w:sz w:val="20"/>
          <w:szCs w:val="20"/>
          <w:lang w:val="en-AU"/>
        </w:rPr>
        <w:t>Subdivision 2 — How to register a cat</w:t>
      </w:r>
    </w:p>
    <w:p w14:paraId="0BDCD1B4">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2 — Microchipping</w:t>
      </w:r>
    </w:p>
    <w:p w14:paraId="3DD1955E">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3 — Sterilisation</w:t>
      </w:r>
    </w:p>
    <w:p w14:paraId="1240026A">
      <w:pPr>
        <w:rPr>
          <w:rFonts w:hint="default"/>
          <w:b/>
          <w:color w:val="1F4E79"/>
          <w:sz w:val="28"/>
          <w:szCs w:val="20"/>
        </w:rPr>
      </w:pPr>
      <w:r>
        <w:rPr>
          <w:rFonts w:hint="default"/>
          <w:b/>
          <w:color w:val="1F4E79"/>
          <w:sz w:val="28"/>
          <w:szCs w:val="20"/>
        </w:rPr>
        <w:t>Part 3 — Management of cats</w:t>
      </w:r>
    </w:p>
    <w:p w14:paraId="64756D51">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1 — Cat control notices</w:t>
      </w:r>
    </w:p>
    <w:p w14:paraId="6412CB8F">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2 — Seizing cats</w:t>
      </w:r>
    </w:p>
    <w:p w14:paraId="72E3846A">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3 — Dealing with cats at cat management facilities</w:t>
      </w:r>
    </w:p>
    <w:p w14:paraId="2EFC344E">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4 — Breeding of cats</w:t>
      </w:r>
    </w:p>
    <w:p w14:paraId="2D56B3A3">
      <w:pPr>
        <w:pStyle w:val="23"/>
        <w:bidi w:val="0"/>
        <w:ind w:left="360" w:leftChars="0" w:hanging="360" w:firstLineChars="0"/>
        <w:rPr>
          <w:rFonts w:hint="default"/>
          <w:sz w:val="20"/>
          <w:szCs w:val="20"/>
          <w:lang w:val="en-AU"/>
        </w:rPr>
      </w:pPr>
      <w:r>
        <w:rPr>
          <w:rFonts w:hint="default"/>
          <w:sz w:val="20"/>
          <w:szCs w:val="20"/>
          <w:lang w:val="en-AU"/>
        </w:rPr>
        <w:t>Subdivision 1 — Restrictions on breeding cats</w:t>
      </w:r>
    </w:p>
    <w:p w14:paraId="57ECC167">
      <w:pPr>
        <w:pStyle w:val="23"/>
        <w:bidi w:val="0"/>
        <w:ind w:left="360" w:leftChars="0" w:hanging="360" w:firstLineChars="0"/>
        <w:rPr>
          <w:rFonts w:hint="default"/>
          <w:sz w:val="20"/>
          <w:szCs w:val="20"/>
          <w:lang w:val="en-AU"/>
        </w:rPr>
      </w:pPr>
      <w:r>
        <w:rPr>
          <w:rFonts w:hint="default"/>
          <w:sz w:val="20"/>
          <w:szCs w:val="20"/>
          <w:lang w:val="en-AU"/>
        </w:rPr>
        <w:t>Subdivision 2 — Becoming an approved cat breeder</w:t>
      </w:r>
    </w:p>
    <w:p w14:paraId="1089700E">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5 — Miscellaneous</w:t>
      </w:r>
    </w:p>
    <w:p w14:paraId="61AA09DE">
      <w:pPr>
        <w:rPr>
          <w:rFonts w:hint="default"/>
          <w:b/>
          <w:color w:val="1F4E79"/>
          <w:sz w:val="28"/>
          <w:szCs w:val="20"/>
          <w:lang w:val="en-AU"/>
        </w:rPr>
      </w:pPr>
      <w:r>
        <w:rPr>
          <w:rFonts w:hint="default"/>
          <w:b/>
          <w:color w:val="1F4E79"/>
          <w:sz w:val="28"/>
          <w:szCs w:val="20"/>
          <w:lang w:val="en-AU"/>
        </w:rPr>
        <w:t>Part 4 — Administration and enforcement</w:t>
      </w:r>
    </w:p>
    <w:p w14:paraId="53E3F04A">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1 — Administration</w:t>
      </w:r>
    </w:p>
    <w:p w14:paraId="689D879F">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2 — Delegations</w:t>
      </w:r>
    </w:p>
    <w:p w14:paraId="454F1195">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3 — Authorised persons</w:t>
      </w:r>
    </w:p>
    <w:p w14:paraId="0AB8B559">
      <w:pPr>
        <w:pStyle w:val="23"/>
        <w:bidi w:val="0"/>
        <w:ind w:left="360" w:leftChars="0" w:hanging="360" w:firstLineChars="0"/>
        <w:rPr>
          <w:rFonts w:hint="default"/>
          <w:b w:val="0"/>
          <w:bCs/>
          <w:color w:val="000000" w:themeColor="text1"/>
          <w:sz w:val="21"/>
          <w:szCs w:val="21"/>
          <w:lang w:val="en-AU"/>
          <w14:textFill>
            <w14:solidFill>
              <w14:schemeClr w14:val="tx1"/>
            </w14:solidFill>
          </w14:textFill>
        </w:rPr>
      </w:pPr>
      <w:r>
        <w:rPr>
          <w:rFonts w:hint="default"/>
          <w:sz w:val="20"/>
          <w:szCs w:val="20"/>
          <w:lang w:val="en-AU"/>
        </w:rPr>
        <w:t xml:space="preserve">Subdivision 2 — Particular powers of authorised </w:t>
      </w:r>
      <w:r>
        <w:rPr>
          <w:rFonts w:hint="default"/>
          <w:b w:val="0"/>
          <w:bCs/>
          <w:color w:val="000000" w:themeColor="text1"/>
          <w:sz w:val="21"/>
          <w:szCs w:val="21"/>
          <w:lang w:val="en-AU"/>
          <w14:textFill>
            <w14:solidFill>
              <w14:schemeClr w14:val="tx1"/>
            </w14:solidFill>
          </w14:textFill>
        </w:rPr>
        <w:t>persons</w:t>
      </w:r>
    </w:p>
    <w:p w14:paraId="4993A272">
      <w:pPr>
        <w:pStyle w:val="23"/>
        <w:bidi w:val="0"/>
        <w:ind w:left="360" w:leftChars="0" w:hanging="360" w:firstLineChars="0"/>
        <w:rPr>
          <w:rFonts w:hint="default"/>
          <w:sz w:val="20"/>
          <w:szCs w:val="20"/>
          <w:lang w:val="en-AU"/>
        </w:rPr>
      </w:pPr>
      <w:r>
        <w:rPr>
          <w:rFonts w:hint="default"/>
          <w:sz w:val="20"/>
          <w:szCs w:val="20"/>
          <w:lang w:val="en-AU"/>
        </w:rPr>
        <w:t>Subdivision 3 — Warrants</w:t>
      </w:r>
    </w:p>
    <w:p w14:paraId="4E7D20FA">
      <w:pPr>
        <w:rPr>
          <w:rFonts w:hint="default"/>
          <w:b/>
          <w:color w:val="1F4E79"/>
          <w:sz w:val="28"/>
          <w:szCs w:val="20"/>
          <w:lang w:val="en-AU"/>
        </w:rPr>
      </w:pPr>
      <w:r>
        <w:rPr>
          <w:rFonts w:hint="default"/>
          <w:b/>
          <w:color w:val="1F4E79"/>
          <w:sz w:val="28"/>
          <w:szCs w:val="20"/>
          <w:lang w:val="en-AU"/>
        </w:rPr>
        <w:t>Part 5 — Subsidiary legislation</w:t>
      </w:r>
    </w:p>
    <w:p w14:paraId="6AB34DF3">
      <w:pPr>
        <w:rPr>
          <w:rFonts w:hint="default"/>
          <w:b w:val="0"/>
          <w:bCs/>
          <w:color w:val="000000" w:themeColor="text1"/>
          <w:sz w:val="21"/>
          <w:szCs w:val="21"/>
          <w:lang w:val="en-AU"/>
          <w14:textFill>
            <w14:solidFill>
              <w14:schemeClr w14:val="tx1"/>
            </w14:solidFill>
          </w14:textFill>
        </w:rPr>
      </w:pPr>
      <w:r>
        <w:rPr>
          <w:rFonts w:hint="default"/>
          <w:b w:val="0"/>
          <w:bCs/>
          <w:color w:val="000000" w:themeColor="text1"/>
          <w:sz w:val="21"/>
          <w:szCs w:val="21"/>
          <w:lang w:val="en-AU"/>
          <w14:textFill>
            <w14:solidFill>
              <w14:schemeClr w14:val="tx1"/>
            </w14:solidFill>
          </w14:textFill>
        </w:rPr>
        <w:t>Division 1 — Regulations</w:t>
      </w:r>
    </w:p>
    <w:p w14:paraId="6156ADC3">
      <w:pPr>
        <w:rPr>
          <w:b/>
          <w:color w:val="1F4E79"/>
          <w:sz w:val="34"/>
        </w:rPr>
      </w:pPr>
      <w:r>
        <w:rPr>
          <w:rFonts w:hint="default"/>
          <w:b/>
          <w:color w:val="1F4E79"/>
          <w:sz w:val="28"/>
          <w:szCs w:val="20"/>
          <w:lang w:val="en-AU"/>
        </w:rPr>
        <w:t>Part 6 — Miscellaneous</w:t>
      </w:r>
      <w:r>
        <w:rPr>
          <w:rFonts w:hint="default"/>
          <w:b w:val="0"/>
          <w:bCs/>
          <w:color w:val="000000" w:themeColor="text1"/>
          <w:sz w:val="21"/>
          <w:szCs w:val="21"/>
          <w:lang w:val="en-AU"/>
          <w14:textFill>
            <w14:solidFill>
              <w14:schemeClr w14:val="tx1"/>
            </w14:solidFill>
          </w14:textFill>
        </w:rPr>
        <w:br w:type="page"/>
      </w:r>
    </w:p>
    <w:p w14:paraId="6C216BC1">
      <w:pPr>
        <w:rPr>
          <w:b/>
          <w:color w:val="1F4E79"/>
          <w:sz w:val="34"/>
        </w:rPr>
      </w:pPr>
    </w:p>
    <w:p w14:paraId="31A9D246">
      <w:pPr>
        <w:pBdr>
          <w:bottom w:val="single" w:color="1F4E79" w:sz="8" w:space="4"/>
        </w:pBdr>
        <w:spacing w:before="120" w:after="160"/>
      </w:pPr>
      <w:r>
        <w:rPr>
          <w:b/>
          <w:color w:val="1F4E79"/>
          <w:sz w:val="34"/>
        </w:rPr>
        <w:t>Part A — The Hypothetical</w:t>
      </w:r>
    </w:p>
    <w:p w14:paraId="45B63D51">
      <w:pPr>
        <w:spacing w:before="240" w:after="80"/>
      </w:pPr>
      <w:r>
        <w:rPr>
          <w:b/>
          <w:color w:val="1F4E79"/>
          <w:sz w:val="27"/>
        </w:rPr>
        <w:t>FACTS</w:t>
      </w:r>
    </w:p>
    <w:p w14:paraId="76688B3C">
      <w:pPr>
        <w:spacing w:before="200" w:after="60"/>
      </w:pPr>
      <w:r>
        <w:rPr>
          <w:b/>
          <w:color w:val="1F4E79"/>
          <w:sz w:val="23"/>
        </w:rPr>
        <w:t>Background</w:t>
      </w:r>
    </w:p>
    <w:p w14:paraId="170BF67E">
      <w:pPr>
        <w:jc w:val="both"/>
      </w:pPr>
      <w:r>
        <w:t>Priya Anand is a long-standing and well-regarded breeder of pedigree Burmese cats. She operates "Lotus Cattery" from her home in the district of the Whitestone City Council ("the Council"), a local government in Victoria. The Council administers the Cat Act 2005 (Vic) ("the Act") within its district. Ms Anand has bred cats for over fifteen years, has won numerous awards, and has never been the subject of any adverse animal-welfare finding. She has held an approval to breed cats under the Act since 2018, renewed without incident in 2021 and 2023.</w:t>
      </w:r>
    </w:p>
    <w:p w14:paraId="1FDD6140">
      <w:pPr>
        <w:jc w:val="both"/>
      </w:pPr>
      <w:r>
        <w:t>In 2025, the Council became concerned about the size of the cat population in its district. At a public council meeting in October 2025, Ms Anand spoke forcefully against the Council's proposed overnight "cat curfew", describing it as "ill-informed and cruel", and she repeated those criticisms in an interview with the local newspaper, the Whitestone Gazette. Councillor Marigold Sage, who had championed the curfew, was reported to be "furious" at Ms Anand's comments.</w:t>
      </w:r>
    </w:p>
    <w:p w14:paraId="791183E3">
      <w:pPr>
        <w:spacing w:before="200" w:after="60"/>
      </w:pPr>
      <w:r>
        <w:rPr>
          <w:b/>
          <w:color w:val="1F4E79"/>
          <w:sz w:val="23"/>
        </w:rPr>
        <w:t>The Cat Regulations 2025 and the Council's policy</w:t>
      </w:r>
    </w:p>
    <w:p w14:paraId="2D8A3B03">
      <w:pPr>
        <w:jc w:val="both"/>
      </w:pPr>
      <w:r>
        <w:t>In December 2025, the Governor made the Cat Regulations 2025 (Vic) ("the Regulations") under s 55 of the Act. Regulation 12 provides that, for the purposes of s 34(2)(f) of the Act, a circumstance in which a local government may refuse to grant or renew an approval to breed cats is that "the applicant has, within the preceding two years, made public statements critical of the local government's animal-management policies". Regulation 8 provides that a local government "must not grant more than ten cat-breeding approvals in its district in any calendar year". Regulation 15 provides that, where the holder of an approval applies for its renewal before the approval expires, the existing approval "continues in force until the application for renewal is determined".</w:t>
      </w:r>
    </w:p>
    <w:p w14:paraId="22CE8EE8">
      <w:pPr>
        <w:jc w:val="both"/>
      </w:pPr>
      <w:r>
        <w:t>In January 2026, the Council adopted the "Whitestone Responsible Cat Ownership Policy 2025" ("the Policy"). The Policy states that the Council "will not grant or renew any approval to breed cats while the district's registered cat population exceeds the target set by the Council from time to time". At all relevant times the population exceeded that target.</w:t>
      </w:r>
    </w:p>
    <w:p w14:paraId="312C8042">
      <w:pPr>
        <w:spacing w:before="200" w:after="60"/>
      </w:pPr>
      <w:r>
        <w:rPr>
          <w:b/>
          <w:color w:val="1F4E79"/>
          <w:sz w:val="23"/>
        </w:rPr>
        <w:t>The renewal application</w:t>
      </w:r>
    </w:p>
    <w:p w14:paraId="7A0094A1">
      <w:pPr>
        <w:jc w:val="both"/>
      </w:pPr>
      <w:r>
        <w:t>Ms Anand's 2023 approval was due to expire on 31 March 2026. On 2 February 2026 — before that expiry — she applied under s 33 of the Act to the Council for the renewal of her approval to breed cats; by reason of regulation 15, her existing approval continued in force pending determination of that application. Her application enclosed: (a) a detailed description of her breeding facilities and premises; (b) references from two veterinarians; and (c) an independent assessment of Lotus Cattery prepared by Dr Lim, a specialist feline veterinarian, which concluded that the cattery's facilities and premises were "exemplary" and "among the best in the State".</w:t>
      </w:r>
    </w:p>
    <w:p w14:paraId="61819195">
      <w:pPr>
        <w:spacing w:before="200" w:after="60"/>
      </w:pPr>
      <w:r>
        <w:rPr>
          <w:b/>
          <w:color w:val="1F4E79"/>
          <w:sz w:val="23"/>
        </w:rPr>
        <w:t>The decision-maker</w:t>
      </w:r>
    </w:p>
    <w:p w14:paraId="76388FB7">
      <w:pPr>
        <w:jc w:val="both"/>
      </w:pPr>
      <w:r>
        <w:t>By a resolution duly passed by an absolute majority and recorded in writing, the Council delegated its functions under the Act to its Chief Executive Officer, Dana Whitlock. The Council's delegation register records that delegation, and no instrument of delegation to any other officer exists. Ms Whitlock did not herself deal with Ms Anand's application. Instead she instructed Trevor Boyle, the Council's Animal Management Coordinator — who is not the Council's CEO — to deal with cat-breeding applications, and Mr Boyle made the decision described below.</w:t>
      </w:r>
    </w:p>
    <w:p w14:paraId="0AC15F14">
      <w:pPr>
        <w:jc w:val="both"/>
      </w:pPr>
      <w:r>
        <w:t>Mr Boyle's sister, Helen Boyle, operates a competing cattery, "Regal Burmese", in the same district; Helen Boyle stood to gain commercially from the closure of Lotus Cattery. Mr Boyle had personally received and investigated a series of neighbour complaints about Ms Anand earlier in 2025. In November 2025, on a community social-media application called "PawPrint", Mr Boyle posted (under his own name) that "people who put profit before animals, like the Lotus Cattery operator, should never be allowed to breed animals in this city". On 1 May 2026, Councillor Sage emailed Mr Boyle stating that "the Anand application must be refused"; Mr Boyle's file note of that day records that he "would do as the Councillor required".</w:t>
      </w:r>
    </w:p>
    <w:p w14:paraId="2D416D15">
      <w:pPr>
        <w:spacing w:before="200" w:after="60"/>
      </w:pPr>
      <w:r>
        <w:rPr>
          <w:b/>
          <w:color w:val="1F4E79"/>
          <w:sz w:val="23"/>
        </w:rPr>
        <w:t>The investigation and the decision</w:t>
      </w:r>
    </w:p>
    <w:p w14:paraId="23347A7E">
      <w:pPr>
        <w:jc w:val="both"/>
      </w:pPr>
      <w:r>
        <w:t>After receiving Ms Anand's application, Mr Boyle did not read Dr Lim's assessment, the veterinary references, or the description of the facilities. He conducted an internet search and found several anonymous posts on PawPrint alleging that Ms Anand "hoards dozens of cats in squalor". The allegations were untrue. Without putting any of this material to Ms Anand, or telling her that her application was in jeopardy, Mr Boyle decided to refuse the renewal and, at the same time, to cancel Ms Anand's existing (continuing) approval.</w:t>
      </w:r>
    </w:p>
    <w:p w14:paraId="09FCC8EF">
      <w:pPr>
        <w:jc w:val="both"/>
      </w:pPr>
      <w:r>
        <w:t>On 15 May 2026 the Council (by Mr Boyle) refused to renew, and cancelled, Ms Anand's approval to breed cats. On 20 May 2026 the Council gave Ms Anand written notice under s 37 of the Act setting out the following reasons:</w:t>
      </w:r>
    </w:p>
    <w:p w14:paraId="182CA4ED">
      <w:pPr>
        <w:spacing w:after="40"/>
        <w:ind w:left="432" w:right="432"/>
        <w:jc w:val="left"/>
      </w:pPr>
      <w:r>
        <w:rPr>
          <w:i/>
          <w:color w:val="333333"/>
          <w:sz w:val="21"/>
        </w:rPr>
        <w:t>"Having considered the application by Ms Priya Anand for the renewal of an approval to breed cats, the Council has decided to refuse the renewal and to cancel her existing approval, for the following reasons:</w:t>
      </w:r>
    </w:p>
    <w:p w14:paraId="33384918">
      <w:pPr>
        <w:spacing w:after="40"/>
        <w:ind w:left="432" w:right="432"/>
        <w:jc w:val="left"/>
      </w:pPr>
      <w:r>
        <w:rPr>
          <w:i/>
          <w:color w:val="333333"/>
          <w:sz w:val="21"/>
        </w:rPr>
        <w:t>1. I am satisfied that Ms Anand is not a fit and proper person to breed cats.</w:t>
      </w:r>
    </w:p>
    <w:p w14:paraId="70837AA9">
      <w:pPr>
        <w:spacing w:after="40"/>
        <w:ind w:left="432" w:right="432"/>
        <w:jc w:val="left"/>
      </w:pPr>
      <w:r>
        <w:rPr>
          <w:i/>
          <w:color w:val="333333"/>
          <w:sz w:val="21"/>
        </w:rPr>
        <w:t>2. I am satisfied that Ms Anand was convicted within the previous three years of an offence against the Animal Welfare Act 2002.</w:t>
      </w:r>
    </w:p>
    <w:p w14:paraId="2786073D">
      <w:pPr>
        <w:spacing w:after="40"/>
        <w:ind w:left="432" w:right="432"/>
        <w:jc w:val="left"/>
      </w:pPr>
      <w:r>
        <w:rPr>
          <w:i/>
          <w:color w:val="333333"/>
          <w:sz w:val="21"/>
        </w:rPr>
        <w:t>3. Ms Anand has, within the preceding two years, made public statements critical of the Council's animal-management policies.</w:t>
      </w:r>
    </w:p>
    <w:p w14:paraId="48F1FA42">
      <w:pPr>
        <w:spacing w:after="40"/>
        <w:ind w:left="432" w:right="432"/>
        <w:jc w:val="left"/>
      </w:pPr>
      <w:r>
        <w:rPr>
          <w:i/>
          <w:color w:val="333333"/>
          <w:sz w:val="21"/>
        </w:rPr>
        <w:t>4. It is the Council's firm position that no further breeding approvals will be granted while the district's cat population exceeds target.</w:t>
      </w:r>
    </w:p>
    <w:p w14:paraId="2B536B5A">
      <w:pPr>
        <w:spacing w:after="40"/>
        <w:ind w:left="432" w:right="432"/>
        <w:jc w:val="left"/>
      </w:pPr>
      <w:r>
        <w:rPr>
          <w:i/>
          <w:color w:val="333333"/>
          <w:sz w:val="21"/>
        </w:rPr>
        <w:t>5. The district already has a sufficient number of cat breeders.</w:t>
      </w:r>
    </w:p>
    <w:p w14:paraId="4E847515">
      <w:pPr>
        <w:spacing w:after="40"/>
        <w:ind w:left="432" w:right="432"/>
        <w:jc w:val="left"/>
      </w:pPr>
      <w:r>
        <w:rPr>
          <w:i/>
          <w:color w:val="333333"/>
          <w:sz w:val="21"/>
        </w:rPr>
        <w:t>— T. Boyle, Animal Management Coordinator, for the Whitestone City Council"</w:t>
      </w:r>
    </w:p>
    <w:p w14:paraId="2D579864">
      <w:pPr>
        <w:jc w:val="both"/>
      </w:pPr>
      <w:r>
        <w:t>In fact, Ms Anand's only relevant record is a single infringement notice she received in 2019 (more than three years before the decision) under separate companion-animal legislation; she has never been convicted of any offence against the Act, the Dog Act 1976 or the Animal Welfare Act 2002.</w:t>
      </w:r>
    </w:p>
    <w:p w14:paraId="146EF97A">
      <w:pPr>
        <w:spacing w:before="200" w:after="60"/>
      </w:pPr>
      <w:r>
        <w:rPr>
          <w:b/>
          <w:color w:val="1F4E79"/>
          <w:sz w:val="23"/>
        </w:rPr>
        <w:t>Seizure and threatened destruction</w:t>
      </w:r>
    </w:p>
    <w:p w14:paraId="666966E9">
      <w:pPr>
        <w:jc w:val="both"/>
      </w:pPr>
      <w:r>
        <w:t>On 22 May 2026, a police officer (an "authorised person" under the Act), acting under a warrant to seize issued under s 50, seized four of Ms Anand's breeding cats from her home, and they were impounded at the Council's cat management facility (a facility operated by the Council). The Council, as operator of that facility, has given notice that, unless restrained, it intends under s 31(2) of the Act to have Ms Anand's prize stud cat, "Maximus", destroyed on the basis that he is "dangerous". The notice does not allege that Maximus has caused, or is likely to cause, serious injury or illness to any person or animal. Maximus is a docile, award-winning show cat who has never injured any person or animal. Friends of Felines Incorporated, an incorporated animal-welfare association that campaigns for the humane treatment of cats and has a long record of advocacy, rescue and rehoming work in the Whitestone district, also wishes to challenge the threatened destruction.</w:t>
      </w:r>
    </w:p>
    <w:p w14:paraId="44D2A0B0">
      <w:pPr>
        <w:spacing w:before="240" w:after="80"/>
      </w:pPr>
      <w:r>
        <w:rPr>
          <w:b/>
          <w:color w:val="1F4E79"/>
          <w:sz w:val="27"/>
        </w:rPr>
        <w:t>Instructions</w:t>
      </w:r>
    </w:p>
    <w:p w14:paraId="64AF76F4">
      <w:pPr>
        <w:jc w:val="both"/>
      </w:pPr>
      <w:r>
        <w:t>You are a solicitor in a large Victorian law firm. Ms Anand has retained your firm to advise on her prospects of success in an application for judicial review, to be brought in the Supreme Court of Victoria, challenging the Council's decision of 15 May 2026 to refuse and cancel her approval to breed cats, and the Council's threatened destruction of Maximus. Your firm will file the originating motion in the week beginning 22 June 2026. You have become aware of all of the matters set out above and may rely on them. Your managing partner asks you to provide an internal memorandum that:</w:t>
      </w:r>
    </w:p>
    <w:p w14:paraId="5904ED36">
      <w:pPr>
        <w:jc w:val="both"/>
      </w:pPr>
      <w:r>
        <w:t>- states the remedies that should be sought in the application;</w:t>
      </w:r>
    </w:p>
    <w:p w14:paraId="130F564F">
      <w:pPr>
        <w:jc w:val="both"/>
      </w:pPr>
      <w:r>
        <w:t>- confirms whether Ms Anand (and, separately, Friends of Felines Inc) would have standing to bring the proceeding;</w:t>
      </w:r>
    </w:p>
    <w:p w14:paraId="06B0EB40">
      <w:pPr>
        <w:jc w:val="both"/>
      </w:pPr>
      <w:r>
        <w:t>- states the grounds upon which the specified remedies may be sought, and whether any one of those grounds will be sufficient to obtain the relief sought; and</w:t>
      </w:r>
    </w:p>
    <w:p w14:paraId="6CC96042">
      <w:pPr>
        <w:jc w:val="both"/>
      </w:pPr>
      <w:r>
        <w:t>- addresses how Ms Anand could access the jurisdiction of the Supreme Court of Victoria, and whether the Charter of Human Rights and Responsibilities Act 2006 (Vic) provides any additional ground.</w:t>
      </w:r>
    </w:p>
    <w:p w14:paraId="553273B1">
      <w:r>
        <w:br w:type="page"/>
      </w:r>
    </w:p>
    <w:p w14:paraId="58B9B2D8">
      <w:pPr>
        <w:pBdr>
          <w:bottom w:val="single" w:color="1F4E79" w:sz="8" w:space="4"/>
        </w:pBdr>
        <w:spacing w:before="120" w:after="160"/>
      </w:pPr>
      <w:r>
        <w:rPr>
          <w:b/>
          <w:color w:val="1F4E79"/>
          <w:sz w:val="34"/>
        </w:rPr>
        <w:t>Question 2</w:t>
      </w:r>
    </w:p>
    <w:p w14:paraId="432DFB6D">
      <w:pPr>
        <w:jc w:val="both"/>
      </w:pPr>
      <w:r>
        <w:t>How, if at all, would your answer to Question 1 differ if the following provision were included in the Cat Act 2005 (Vic)?</w:t>
      </w:r>
    </w:p>
    <w:p w14:paraId="0DABF45A">
      <w:pPr>
        <w:spacing w:after="40"/>
        <w:ind w:left="432" w:right="432"/>
        <w:jc w:val="left"/>
      </w:pPr>
      <w:r>
        <w:rPr>
          <w:i/>
          <w:color w:val="333333"/>
          <w:sz w:val="21"/>
        </w:rPr>
        <w:t>57  Validity of decisions</w:t>
      </w:r>
    </w:p>
    <w:p w14:paraId="7C555E7F">
      <w:pPr>
        <w:spacing w:after="40"/>
        <w:ind w:left="432" w:right="432"/>
        <w:jc w:val="left"/>
      </w:pPr>
      <w:r>
        <w:rPr>
          <w:i/>
          <w:color w:val="333333"/>
          <w:sz w:val="21"/>
        </w:rPr>
        <w:t>A decision of a local government under this Act is final and conclusive, and must not be challenged, appealed against, reviewed, quashed or called into question in any court, and is not subject to prohibition, mandamus, injunction, declaration or certiorari, on any ground.</w:t>
      </w:r>
    </w:p>
    <w:p w14:paraId="07E0C187">
      <w:r>
        <w:br w:type="page"/>
      </w:r>
    </w:p>
    <w:p w14:paraId="1631F989">
      <w:pPr>
        <w:pBdr>
          <w:bottom w:val="single" w:color="1F4E79" w:sz="8" w:space="4"/>
        </w:pBdr>
        <w:spacing w:before="120" w:after="160"/>
      </w:pPr>
      <w:r>
        <w:rPr>
          <w:b/>
          <w:color w:val="1F4E79"/>
          <w:sz w:val="34"/>
        </w:rPr>
        <w:t>QUESTION 1 — MEMORANDUM OF ADVICE</w:t>
      </w:r>
    </w:p>
    <w:p w14:paraId="132CB987">
      <w:pPr>
        <w:jc w:val="both"/>
      </w:pPr>
      <w:r>
        <w:t xml:space="preserve">This memorandum advises Ms Priya Anand on her prospects of success in an application for judicial review in the Supreme Court of Victoria challenging the Whitestone City Council's decision of 15 May 2026 to refuse to renew, and to cancel, her approval to breed cats under the </w:t>
      </w:r>
      <w:r>
        <w:rPr>
          <w:b/>
        </w:rPr>
        <w:t>Cat Act 2005 (Vic)</w:t>
      </w:r>
      <w:r>
        <w:t xml:space="preserve"> ("the Act"), the seizure of her four breeding cats under a s 50 warrant, and the Council's threatened destruction of her cat "Maximus" under s 31(2). It addresses, in order: (1) jurisdiction and the avenues for review; (2) the remedies to be sought; (3) standing (for Ms Anand and for Friends of Felines Inc); (4) the grounds of review, argued for and against, with a balanced assessment of each; (5) a comparative assessment identifying the strongest ground(s) — placed front and centre, before the breach analysis, because the choice of lead ground drives the breach, materiality and relief analysis that follows; (6) breach and the consequences of breach; (7) the likely availability of the remedies; and (8) an overall conclusion. The Charter of Human Rights and Responsibilities Act 2006 (Vic) is addressed as a discrete ground at 4.13. Question 2 (the effect of a privative clause) is addressed at the end.</w:t>
      </w:r>
    </w:p>
    <w:p w14:paraId="15D6D999">
      <w:pPr>
        <w:spacing w:before="240" w:after="80"/>
      </w:pPr>
      <w:r>
        <w:rPr>
          <w:b/>
          <w:color w:val="1F4E79"/>
          <w:sz w:val="27"/>
        </w:rPr>
        <w:t>1. Jurisdiction and Avenues for Review</w:t>
      </w:r>
    </w:p>
    <w:p w14:paraId="14795A60">
      <w:pPr>
        <w:spacing w:before="80" w:after="40"/>
      </w:pPr>
      <w:r>
        <w:rPr>
          <w:b/>
          <w:i/>
          <w:color w:val="595959"/>
        </w:rPr>
        <w:t>Issue</w:t>
      </w:r>
    </w:p>
    <w:p w14:paraId="4B6547F7">
      <w:pPr>
        <w:jc w:val="both"/>
      </w:pPr>
      <w:r>
        <w:t>In which court, and by which procedure, may Ms Anand bring a judicial review application, and is she within time?</w:t>
      </w:r>
    </w:p>
    <w:p w14:paraId="23425F47">
      <w:pPr>
        <w:spacing w:before="80" w:after="40"/>
      </w:pPr>
      <w:r>
        <w:rPr>
          <w:b/>
          <w:i/>
          <w:color w:val="595959"/>
        </w:rPr>
        <w:t>Rule</w:t>
      </w:r>
    </w:p>
    <w:p w14:paraId="78275F31">
      <w:pPr>
        <w:jc w:val="both"/>
      </w:pPr>
      <w:r>
        <w:t xml:space="preserve">The aim of a judicial review application is to establish that the decision-maker has breached the limits of the power conferred on it. In Victoria </w:t>
      </w:r>
      <w:r>
        <w:rPr>
          <w:b/>
        </w:rPr>
        <w:t xml:space="preserve">Supreme Court of Victoria </w:t>
      </w:r>
      <w:r>
        <w:rPr>
          <w:rFonts w:hint="default"/>
          <w:b/>
          <w:lang w:val="en-AU"/>
        </w:rPr>
        <w:t xml:space="preserve">has </w:t>
      </w:r>
      <w:r>
        <w:rPr>
          <w:b/>
        </w:rPr>
        <w:t>inherent supervisory jurisdiction.</w:t>
      </w:r>
      <w:r>
        <w:t xml:space="preserve"> The Court's jurisdiction to review for jurisdictional error, exercised through relief in the nature of certiorari, mandamus and prohibition, is an </w:t>
      </w:r>
      <w:r>
        <w:rPr>
          <w:b/>
        </w:rPr>
        <w:t>inherent</w:t>
      </w:r>
      <w:r>
        <w:t xml:space="preserve"> jurisdiction and a "defining characteristic" of a State Supreme Court that cannot be removed by legislation: </w:t>
      </w:r>
      <w:r>
        <w:rPr>
          <w:b/>
        </w:rPr>
        <w:t>Kirk v Industrial Court (NSW) (2010) 239 CLR 531</w:t>
      </w:r>
      <w:r>
        <w:t xml:space="preserve">; it is recognised in </w:t>
      </w:r>
      <w:r>
        <w:rPr>
          <w:b/>
        </w:rPr>
        <w:t>s 85 of the Constitution Act 1975 (Vic)</w:t>
      </w:r>
      <w:r>
        <w:t>.</w:t>
      </w:r>
      <w:r>
        <w:rPr>
          <w:rFonts w:hint="default"/>
          <w:lang w:val="en-AU"/>
        </w:rPr>
        <w:t xml:space="preserve"> T</w:t>
      </w:r>
      <w:r>
        <w:t>here are two avenues</w:t>
      </w:r>
      <w:r>
        <w:rPr>
          <w:rFonts w:hint="default"/>
          <w:lang w:val="en-AU"/>
        </w:rPr>
        <w:t xml:space="preserve"> below</w:t>
      </w:r>
      <w:r>
        <w:t xml:space="preserve">, which </w:t>
      </w:r>
      <w:r>
        <w:rPr>
          <w:b/>
        </w:rPr>
        <w:t>cannot be joined</w:t>
      </w:r>
      <w:r>
        <w:t>:</w:t>
      </w:r>
    </w:p>
    <w:p w14:paraId="42668517">
      <w:pPr>
        <w:pStyle w:val="23"/>
        <w:jc w:val="both"/>
      </w:pPr>
      <w:r>
        <w:rPr>
          <w:rFonts w:hint="default"/>
          <w:lang w:val="en-AU"/>
        </w:rPr>
        <w:t>Order 56:</w:t>
      </w:r>
      <w:r>
        <w:t xml:space="preserve"> It is </w:t>
      </w:r>
      <w:r>
        <w:rPr>
          <w:b/>
        </w:rPr>
        <w:t>accessed</w:t>
      </w:r>
      <w:r>
        <w:t xml:space="preserve"> (not conferred) by the </w:t>
      </w:r>
      <w:r>
        <w:rPr>
          <w:b/>
        </w:rPr>
        <w:t>Supreme Court Act 1986 (Vic)</w:t>
      </w:r>
      <w:r>
        <w:t xml:space="preserve"> and </w:t>
      </w:r>
      <w:r>
        <w:rPr>
          <w:b/>
        </w:rPr>
        <w:t>Order 56 of the Supreme Court (General Civil Procedure) Rules 2015 (Vic)</w:t>
      </w:r>
      <w:r>
        <w:t xml:space="preserve">. Under O 56.01, relief in the nature of certiorari, mandamus and prohibition is obtained by way of judgment or order in a proceeding commenced by originating motion; the Court may also grant injunctions and declarations in its inherent jurisdiction. The </w:t>
      </w:r>
      <w:r>
        <w:rPr>
          <w:b/>
        </w:rPr>
        <w:t>limitation period is 60 days</w:t>
      </w:r>
      <w:r>
        <w:t xml:space="preserve"> from the date when the grounds for relief first arose.</w:t>
      </w:r>
    </w:p>
    <w:p w14:paraId="74716DAE">
      <w:pPr>
        <w:pStyle w:val="23"/>
        <w:jc w:val="both"/>
      </w:pPr>
      <w:r>
        <w:rPr>
          <w:b/>
        </w:rPr>
        <w:t>Administrative Law Act 1978 (Vic) ("ALA").</w:t>
      </w:r>
      <w:r>
        <w:t xml:space="preserve"> Section 3 confers a right of review on "any person affected by a </w:t>
      </w:r>
      <w:r>
        <w:rPr>
          <w:b/>
        </w:rPr>
        <w:t>decision</w:t>
      </w:r>
      <w:r>
        <w:t xml:space="preserve"> of a </w:t>
      </w:r>
      <w:r>
        <w:rPr>
          <w:b/>
        </w:rPr>
        <w:t>tribunal</w:t>
      </w:r>
      <w:r>
        <w:t>." "Decision" (s 2) means a decision operating in law to determine a question affecting rights or to grant, deny or alter a licence; it must be operative and have a quality of finality, but extends to decisions not necessarily immediately binding and enforceable (</w:t>
      </w:r>
      <w:r>
        <w:rPr>
          <w:b/>
        </w:rPr>
        <w:t>Australian Broadcasting Tribunal v Bond (1990) 170 CLR 321; Masters v McCubbery [1996] 1 VR 635</w:t>
      </w:r>
      <w:r>
        <w:t xml:space="preserve">). "Tribunal" (s 2) means a person or body required, in arriving at the decision, to act judicially to the extent of observing one or more of the rules of natural justice. The ALA confers a statutory mechanism to obtain </w:t>
      </w:r>
      <w:r>
        <w:rPr>
          <w:b/>
        </w:rPr>
        <w:t>reasons</w:t>
      </w:r>
      <w:r>
        <w:t xml:space="preserve"> (s 8) and, by </w:t>
      </w:r>
      <w:r>
        <w:rPr>
          <w:b/>
        </w:rPr>
        <w:t>s 10</w:t>
      </w:r>
      <w:r>
        <w:t xml:space="preserve">, deems any reasons given to form part of the record (enlarging the record so that error of law on its face is reviewable). The </w:t>
      </w:r>
      <w:r>
        <w:rPr>
          <w:b/>
        </w:rPr>
        <w:t>limitation period is 30 days</w:t>
      </w:r>
      <w:r>
        <w:t>.</w:t>
      </w:r>
    </w:p>
    <w:p w14:paraId="4BA1E574">
      <w:pPr>
        <w:spacing w:before="80" w:after="40"/>
      </w:pPr>
      <w:r>
        <w:rPr>
          <w:b/>
          <w:i/>
          <w:color w:val="595959"/>
        </w:rPr>
        <w:t>Application</w:t>
      </w:r>
    </w:p>
    <w:p w14:paraId="0E498C69">
      <w:pPr>
        <w:jc w:val="both"/>
      </w:pPr>
      <w:r>
        <w:t>The decision-maker is the Whitestone City Council, a local government administering the Act (s 39). Its decision to refuse and cancel Ms Anand's breeding approval is an exercise of statutory power under ss 34–35, and its threatened destruction of Maximus is an exercise of power under s 31(2); each gives rise to a justiciable controversy. The Supreme Court has inherent supervisory jurisdiction over both.</w:t>
      </w:r>
    </w:p>
    <w:p w14:paraId="72BE2809">
      <w:pPr>
        <w:jc w:val="both"/>
      </w:pPr>
      <w:r>
        <w:t xml:space="preserve">As to the </w:t>
      </w:r>
      <w:r>
        <w:rPr>
          <w:b/>
        </w:rPr>
        <w:t>avenue</w:t>
      </w:r>
      <w:r>
        <w:t xml:space="preserve">: the </w:t>
      </w:r>
      <w:r>
        <w:rPr>
          <w:b/>
        </w:rPr>
        <w:t>Order 56</w:t>
      </w:r>
      <w:r>
        <w:t xml:space="preserve"> route is the appropriate and available avenue. Ms Anand's grounds are predominantly grounds of </w:t>
      </w:r>
      <w:r>
        <w:rPr>
          <w:b/>
        </w:rPr>
        <w:t>jurisdictional error</w:t>
      </w:r>
      <w:r>
        <w:t xml:space="preserve"> (below), which is the heartland of the Court's inherent supervisory jurisdiction. The application will be filed in the week beginning 22 June 2026 — within the </w:t>
      </w:r>
      <w:r>
        <w:rPr>
          <w:b/>
        </w:rPr>
        <w:t>60-day</w:t>
      </w:r>
      <w:r>
        <w:t xml:space="preserve"> O 56 period (which expires in mid-July 2026, the decision having been made on 15 May 2026). By contrast, the </w:t>
      </w:r>
      <w:r>
        <w:rPr>
          <w:b/>
        </w:rPr>
        <w:t>ALA's 30-day</w:t>
      </w:r>
      <w:r>
        <w:t xml:space="preserve"> period (running from, at latest, the s 37 reasons of 20 May 2026) will already have expired by the proposed filing date, so the ALA avenue is, on the present timetable, </w:t>
      </w:r>
      <w:r>
        <w:rPr>
          <w:b/>
        </w:rPr>
        <w:t>time-barred</w:t>
      </w:r>
      <w:r>
        <w:t>. This does not prejudice Ms Anand: the Order 56 route remains open, and is in any event preferable because it engages the full supervisory jurisdiction and is not confined to a "decision of a tribunal." Were the ALA still available, the s 8 reasons mechanism and the s 10 enlargement of the record would be useful (particularly for the error-of-law-on-the-record argument), but the Council has in fact already given reasons under s 37 of the Act, so little is lost.</w:t>
      </w:r>
    </w:p>
    <w:p w14:paraId="329CD2AB">
      <w:pPr>
        <w:spacing w:before="80" w:after="40"/>
      </w:pPr>
      <w:r>
        <w:rPr>
          <w:b/>
          <w:i/>
          <w:color w:val="595959"/>
        </w:rPr>
        <w:t>Conclusion</w:t>
      </w:r>
    </w:p>
    <w:p w14:paraId="4A0D5974">
      <w:pPr>
        <w:jc w:val="both"/>
      </w:pPr>
      <w:r>
        <w:t xml:space="preserve">Ms Anand should proceed in the Supreme Court of Victoria under </w:t>
      </w:r>
      <w:r>
        <w:rPr>
          <w:b/>
        </w:rPr>
        <w:t>Order 56</w:t>
      </w:r>
      <w:r>
        <w:t>, invoking the Court's inherent supervisory jurisdiction (</w:t>
      </w:r>
      <w:r>
        <w:rPr>
          <w:b/>
        </w:rPr>
        <w:t>Kirk</w:t>
      </w:r>
      <w:r>
        <w:t>; s 85 Constitution Act 1975 (Vic)), within the 60-day period. The ALA avenue is, on the current timetable, out of time and in any event narrower; nothing turns on its loss.</w:t>
      </w:r>
    </w:p>
    <w:p w14:paraId="49101111">
      <w:pPr>
        <w:spacing w:before="240" w:after="80"/>
      </w:pPr>
      <w:r>
        <w:rPr>
          <w:b/>
          <w:color w:val="1F4E79"/>
          <w:sz w:val="27"/>
        </w:rPr>
        <w:t>2. Remedies (Part I)</w:t>
      </w:r>
    </w:p>
    <w:p w14:paraId="10A341C6">
      <w:pPr>
        <w:spacing w:before="80" w:after="40"/>
      </w:pPr>
      <w:r>
        <w:rPr>
          <w:b/>
          <w:i/>
          <w:color w:val="595959"/>
        </w:rPr>
        <w:t>Issue</w:t>
      </w:r>
    </w:p>
    <w:p w14:paraId="6BFA3410">
      <w:pPr>
        <w:jc w:val="both"/>
      </w:pPr>
      <w:r>
        <w:t>What remedies should be sought in the originating motion?</w:t>
      </w:r>
    </w:p>
    <w:p w14:paraId="5CB40211">
      <w:pPr>
        <w:spacing w:before="80" w:after="40"/>
      </w:pPr>
      <w:r>
        <w:rPr>
          <w:b/>
          <w:i/>
          <w:color w:val="595959"/>
        </w:rPr>
        <w:t>Rule</w:t>
      </w:r>
    </w:p>
    <w:p w14:paraId="242EFBD3">
      <w:pPr>
        <w:jc w:val="both"/>
      </w:pPr>
      <w:r>
        <w:t xml:space="preserve">In the Supreme Court of Victoria the following are available: relief in the nature of </w:t>
      </w:r>
      <w:r>
        <w:rPr>
          <w:b/>
        </w:rPr>
        <w:t>certiorari</w:t>
      </w:r>
      <w:r>
        <w:t xml:space="preserve"> (to quash the legal effect of a decision: </w:t>
      </w:r>
      <w:r>
        <w:rPr>
          <w:b/>
        </w:rPr>
        <w:t>Ainsworth v Criminal Justice Commission (1992) 175 CLR 564</w:t>
      </w:r>
      <w:r>
        <w:t>; available only against an exercise of power with apparent legal effect (</w:t>
      </w:r>
      <w:r>
        <w:rPr>
          <w:b/>
        </w:rPr>
        <w:t>Wingfoot Australia Partners Pty Ltd v Kocak (2013) 252 CLR 480</w:t>
      </w:r>
      <w:r>
        <w:t>) and correcting jurisdictional error and error of law on the face of the record (</w:t>
      </w:r>
      <w:r>
        <w:rPr>
          <w:b/>
        </w:rPr>
        <w:t>Craig; Kirk</w:t>
      </w:r>
      <w:r>
        <w:t xml:space="preserve">)), </w:t>
      </w:r>
      <w:r>
        <w:rPr>
          <w:b/>
        </w:rPr>
        <w:t>mandamus</w:t>
      </w:r>
      <w:r>
        <w:t xml:space="preserve"> (to compel performance of a public duty according to law) and </w:t>
      </w:r>
      <w:r>
        <w:rPr>
          <w:b/>
        </w:rPr>
        <w:t>prohibition</w:t>
      </w:r>
      <w:r>
        <w:t xml:space="preserve"> (to restrain unlawful action), under O 56.01; and, in the Court's inherent jurisdiction, </w:t>
      </w:r>
      <w:r>
        <w:rPr>
          <w:b/>
        </w:rPr>
        <w:t>injunctions</w:t>
      </w:r>
      <w:r>
        <w:t xml:space="preserve"> (mandatory or prohibitory; an injunction requires a legal right or sufficient interest: </w:t>
      </w:r>
      <w:r>
        <w:rPr>
          <w:b/>
        </w:rPr>
        <w:t>Bateman's Bay Local Aboriginal Land Council v Aboriginal Community Benefit Fund Pty Ltd (1998) 194 CLR 247</w:t>
      </w:r>
      <w:r>
        <w:t xml:space="preserve">) and </w:t>
      </w:r>
      <w:r>
        <w:rPr>
          <w:b/>
        </w:rPr>
        <w:t>declarations</w:t>
      </w:r>
      <w:r>
        <w:t xml:space="preserve"> (requiring an actual, not hypothetical, controversy: </w:t>
      </w:r>
      <w:r>
        <w:rPr>
          <w:b/>
        </w:rPr>
        <w:t>City of Enfield v Development Assessment Commission (2000) 199 CLR 135</w:t>
      </w:r>
      <w:r>
        <w:t>).</w:t>
      </w:r>
    </w:p>
    <w:p w14:paraId="49AF6C9D">
      <w:pPr>
        <w:spacing w:before="80" w:after="40"/>
      </w:pPr>
      <w:r>
        <w:rPr>
          <w:b/>
          <w:i/>
          <w:color w:val="595959"/>
        </w:rPr>
        <w:t>Application</w:t>
      </w:r>
    </w:p>
    <w:p w14:paraId="702E50DA">
      <w:pPr>
        <w:jc w:val="both"/>
      </w:pPr>
      <w:r>
        <w:t>Ms Anand should seek:</w:t>
      </w:r>
    </w:p>
    <w:p w14:paraId="72E517CD">
      <w:pPr>
        <w:pStyle w:val="29"/>
        <w:jc w:val="both"/>
      </w:pPr>
      <w:r>
        <w:rPr>
          <w:b/>
        </w:rPr>
        <w:t>Certiorari</w:t>
      </w:r>
      <w:r>
        <w:t xml:space="preserve"> to quash the Council's decision of 15 May 2026 refusing to renew and cancelling her approval to breed cats.</w:t>
      </w:r>
    </w:p>
    <w:p w14:paraId="555A40FA">
      <w:pPr>
        <w:pStyle w:val="29"/>
        <w:jc w:val="both"/>
      </w:pPr>
      <w:r>
        <w:rPr>
          <w:b/>
        </w:rPr>
        <w:t>Mandamus</w:t>
      </w:r>
      <w:r>
        <w:t xml:space="preserve"> to compel the Council to determine her renewal application according to law (by a person with authority to decide, free of bias, and on the relevant statutory considerations).</w:t>
      </w:r>
    </w:p>
    <w:p w14:paraId="389144B3">
      <w:pPr>
        <w:pStyle w:val="29"/>
        <w:jc w:val="both"/>
      </w:pPr>
      <w:r>
        <w:t xml:space="preserve">A </w:t>
      </w:r>
      <w:r>
        <w:rPr>
          <w:b/>
        </w:rPr>
        <w:t>prohibitory injunction</w:t>
      </w:r>
      <w:r>
        <w:t xml:space="preserve"> (and, if necessary, an urgent interlocutory injunction) to restrain the Council, as operator of the cat management facility, from destroying Maximus under s 31(2) pending the determination of the proceeding.</w:t>
      </w:r>
    </w:p>
    <w:p w14:paraId="4BB5911D">
      <w:pPr>
        <w:pStyle w:val="29"/>
        <w:jc w:val="both"/>
      </w:pPr>
      <w:r>
        <w:t xml:space="preserve">Relief in the nature of </w:t>
      </w:r>
      <w:r>
        <w:rPr>
          <w:b/>
        </w:rPr>
        <w:t>certiorari/prohibition</w:t>
      </w:r>
      <w:r>
        <w:t xml:space="preserve"> in respect of the s 50 warrant, and a </w:t>
      </w:r>
      <w:r>
        <w:rPr>
          <w:b/>
        </w:rPr>
        <w:t>mandatory injunction or order for the return</w:t>
      </w:r>
      <w:r>
        <w:t xml:space="preserve"> of all four seized cats to Ms Anand (the seizure having no valid foundation if she remains an approved breeder: 4.14).</w:t>
      </w:r>
    </w:p>
    <w:p w14:paraId="68BCB9D4">
      <w:pPr>
        <w:pStyle w:val="29"/>
        <w:jc w:val="both"/>
      </w:pPr>
      <w:r>
        <w:rPr>
          <w:b/>
        </w:rPr>
        <w:t>Declarations</w:t>
      </w:r>
      <w:r>
        <w:t xml:space="preserve"> that (a) the decision of 15 May 2026 (refusal and cancellation) is invalid and of no effect; (b) regulation 12 (and, so far as relied on, regulation 8) of the Cat Regulations 2025 (Vic) is invalid; and (c) the threatened destruction of Maximus would be unlawful.</w:t>
      </w:r>
    </w:p>
    <w:p w14:paraId="3BEE3AA4">
      <w:pPr>
        <w:spacing w:before="80" w:after="40"/>
      </w:pPr>
      <w:r>
        <w:rPr>
          <w:b/>
          <w:i/>
          <w:color w:val="595959"/>
        </w:rPr>
        <w:t>Conclusion</w:t>
      </w:r>
    </w:p>
    <w:p w14:paraId="6ECAAD82">
      <w:pPr>
        <w:jc w:val="both"/>
      </w:pPr>
      <w:r>
        <w:t>Certiorari and mandamus (to quash the refusal and cancellation and compel lawful redetermination), relief in respect of the s 50 warrant with an order for the return of the four seized cats, a prohibitory injunction (with urgent interlocutory protection for Maximus), and the declarations above should all be sought.</w:t>
      </w:r>
    </w:p>
    <w:p w14:paraId="5D4150E8">
      <w:pPr>
        <w:spacing w:before="240" w:after="80"/>
      </w:pPr>
      <w:r>
        <w:rPr>
          <w:b/>
          <w:color w:val="1F4E79"/>
          <w:sz w:val="27"/>
        </w:rPr>
        <w:t>3. Standing</w:t>
      </w:r>
    </w:p>
    <w:p w14:paraId="2D8D8B88">
      <w:pPr>
        <w:spacing w:before="80" w:after="40"/>
      </w:pPr>
      <w:r>
        <w:rPr>
          <w:b/>
          <w:i/>
          <w:color w:val="595959"/>
        </w:rPr>
        <w:t>Issue</w:t>
      </w:r>
    </w:p>
    <w:p w14:paraId="33C4067D">
      <w:pPr>
        <w:jc w:val="both"/>
      </w:pPr>
      <w:r>
        <w:t>Whether Ms Anand, and separately Friends of Felines Inc, have standing.</w:t>
      </w:r>
    </w:p>
    <w:p w14:paraId="6C90EBED">
      <w:pPr>
        <w:spacing w:before="80" w:after="40"/>
      </w:pPr>
      <w:r>
        <w:rPr>
          <w:b/>
          <w:i/>
          <w:color w:val="595959"/>
        </w:rPr>
        <w:t>Rule</w:t>
      </w:r>
    </w:p>
    <w:p w14:paraId="57B4F1E8">
      <w:pPr>
        <w:jc w:val="both"/>
        <w:rPr>
          <w:rFonts w:hint="default"/>
          <w:lang w:val="en-AU"/>
        </w:rPr>
      </w:pPr>
      <w:r>
        <w:t xml:space="preserve">For relief in the nature of </w:t>
      </w:r>
      <w:r>
        <w:rPr>
          <w:b/>
        </w:rPr>
        <w:t>certiorari and prohibition</w:t>
      </w:r>
      <w:r>
        <w:t>, the applicant must show a sufficient effect on a legal right or interest as a condition precedent (</w:t>
      </w:r>
      <w:r>
        <w:rPr>
          <w:b/>
        </w:rPr>
        <w:t>Hot Holdings Pty Ltd v Creasy (1996) 185 CLR 149; Ainsworth</w:t>
      </w:r>
      <w:r>
        <w:t>); even a stranger may seek these</w:t>
      </w:r>
      <w:r>
        <w:rPr>
          <w:rFonts w:hint="default"/>
          <w:lang w:val="en-AU"/>
        </w:rPr>
        <w:t xml:space="preserve"> (ACF)</w:t>
      </w:r>
      <w:r>
        <w:t>, although the discretionary considerations against relief are correspondingly strengthened (</w:t>
      </w:r>
      <w:r>
        <w:rPr>
          <w:b/>
        </w:rPr>
        <w:t>Aala</w:t>
      </w:r>
      <w:r>
        <w:t xml:space="preserve">). </w:t>
      </w:r>
      <w:r>
        <w:rPr>
          <w:rFonts w:hint="default"/>
          <w:lang w:val="en-AU"/>
        </w:rPr>
        <w:t xml:space="preserve">Personal and business reputations are included in interest (Ainsworth). </w:t>
      </w:r>
    </w:p>
    <w:p w14:paraId="01E51D96">
      <w:pPr>
        <w:jc w:val="both"/>
      </w:pPr>
      <w:r>
        <w:t xml:space="preserve">For </w:t>
      </w:r>
      <w:r>
        <w:rPr>
          <w:b/>
        </w:rPr>
        <w:t>mandamus</w:t>
      </w:r>
      <w:r>
        <w:t>, the applicant must show a sufficient interest in the performance of a public duty owed (</w:t>
      </w:r>
      <w:r>
        <w:rPr>
          <w:b/>
        </w:rPr>
        <w:t>Martin v Nalder [2016] WASC 138</w:t>
      </w:r>
      <w:r>
        <w:t xml:space="preserve">). </w:t>
      </w:r>
    </w:p>
    <w:p w14:paraId="1344FABF">
      <w:pPr>
        <w:jc w:val="both"/>
      </w:pPr>
      <w:r>
        <w:t xml:space="preserve">For </w:t>
      </w:r>
      <w:r>
        <w:rPr>
          <w:b/>
        </w:rPr>
        <w:t>equitable relief</w:t>
      </w:r>
      <w:r>
        <w:t xml:space="preserve"> (injunction, declaration), the applicant must have a </w:t>
      </w:r>
      <w:r>
        <w:rPr>
          <w:b/>
        </w:rPr>
        <w:t>special interest</w:t>
      </w:r>
      <w:r>
        <w:t xml:space="preserve"> in the subject matter — more than the interest of an ordinary member of the public, and more than a mere emotional or intellectual concern (</w:t>
      </w:r>
      <w:r>
        <w:rPr>
          <w:b/>
        </w:rPr>
        <w:t>Australian Conservation Foundation Inc v Commonwealth (1980) 146 CLR 493 ("ACF"); Onus v Alcoa of Australia Ltd (1981) 149 CLR 27</w:t>
      </w:r>
      <w:r>
        <w:t>); the interest need not be financial, and the nature and subject matter of the litigation dictate what suffices (</w:t>
      </w:r>
      <w:r>
        <w:rPr>
          <w:b/>
        </w:rPr>
        <w:t>Bateman's Bay; Argos Pty Ltd v Corbell (2014) 254 CLR 394</w:t>
      </w:r>
      <w:r>
        <w:t xml:space="preserve">). </w:t>
      </w:r>
    </w:p>
    <w:p w14:paraId="3AF10E94">
      <w:pPr>
        <w:jc w:val="both"/>
      </w:pPr>
      <w:r>
        <w:t xml:space="preserve">Under the </w:t>
      </w:r>
      <w:r>
        <w:rPr>
          <w:b/>
        </w:rPr>
        <w:t>ALA</w:t>
      </w:r>
      <w:r>
        <w:t>, standing is conferred on "any person affected by a decision" (s 3) — a broad, enabling test.</w:t>
      </w:r>
    </w:p>
    <w:p w14:paraId="4E94EA64">
      <w:pPr>
        <w:spacing w:before="80" w:after="40"/>
      </w:pPr>
      <w:r>
        <w:rPr>
          <w:b/>
          <w:i/>
          <w:color w:val="595959"/>
        </w:rPr>
        <w:t>Application</w:t>
      </w:r>
    </w:p>
    <w:p w14:paraId="6791883A">
      <w:pPr>
        <w:jc w:val="both"/>
      </w:pPr>
      <w:r>
        <w:rPr>
          <w:b/>
        </w:rPr>
        <w:t>Ms Anand</w:t>
      </w:r>
      <w:r>
        <w:t xml:space="preserve"> plainly has standing. She is the applicant for, and (by reason of reg 15) the continuing holder of, the approval; the refusal and cancellation directly destroy her legal right to breed cats and damage her reputation and livelihood (reputation is an "interest": </w:t>
      </w:r>
      <w:r>
        <w:rPr>
          <w:b/>
        </w:rPr>
        <w:t>Ainsworth</w:t>
      </w:r>
      <w:r>
        <w:t>). She is also the owner of the cats seized and of Maximus, whose threatened destruction directly affects her property. She is a "person affected" for the ALA and has more than ample special interest for the equitable relief. There is no standing obstacle.</w:t>
      </w:r>
    </w:p>
    <w:p w14:paraId="49989D31">
      <w:pPr>
        <w:jc w:val="both"/>
      </w:pPr>
      <w:r>
        <w:rPr>
          <w:b/>
        </w:rPr>
        <w:t>Friends of Felines Inc</w:t>
      </w:r>
      <w:r>
        <w:t xml:space="preserve"> presents the more contestable question, relevant only to its challenge to the threatened destruction. Mere intellectual or emotional concern for animal welfare is insufficient (</w:t>
      </w:r>
      <w:r>
        <w:rPr>
          <w:b/>
        </w:rPr>
        <w:t>ACF</w:t>
      </w:r>
      <w:r>
        <w:t xml:space="preserve">: a belief that the law should be observed does not confer standing). However, the association has a </w:t>
      </w:r>
      <w:r>
        <w:rPr>
          <w:b/>
        </w:rPr>
        <w:t>long record of advocacy, rescue and rehoming work in the Whitestone district</w:t>
      </w:r>
      <w:r>
        <w:t xml:space="preserve">, which is capable of constituting a special interest greater than that of an ordinary member of the public on the </w:t>
      </w:r>
      <w:r>
        <w:rPr>
          <w:b/>
        </w:rPr>
        <w:t>Onus</w:t>
      </w:r>
      <w:r>
        <w:t>/</w:t>
      </w:r>
      <w:r>
        <w:rPr>
          <w:b/>
        </w:rPr>
        <w:t>North Coast</w:t>
      </w:r>
      <w:r>
        <w:t xml:space="preserve"> line (a curial assessment of the closeness of the litigant's relationship to the subject matter). The counter-argument is threefold: an organisation formed to advance a cause is, on </w:t>
      </w:r>
      <w:r>
        <w:rPr>
          <w:b/>
        </w:rPr>
        <w:t>ACF</w:t>
      </w:r>
      <w:r>
        <w:t>, in no stronger position than its members; a "right to speak and to influence opinions" cannot be transmuted into a right of standing, and the interest must not be remote, indirect or fanciful (</w:t>
      </w:r>
      <w:r>
        <w:rPr>
          <w:b/>
        </w:rPr>
        <w:t>Right to Life Association (NSW) Inc v Secretary, Department of Human Services and Health (1995) 56 FCR 50</w:t>
      </w:r>
      <w:r>
        <w:t>, Lockhart J); and FoF must show it is "specially affected, though not necessarily uniquely affected" (</w:t>
      </w:r>
      <w:r>
        <w:rPr>
          <w:b/>
        </w:rPr>
        <w:t>Brennan J, Onus</w:t>
      </w:r>
      <w:r>
        <w:t>) — which its concrete rescue and rehoming operations in the district, as distinct from advocacy alone, arguably establish. For the writs, even a stranger may apply, though the discretionary considerations are strengthened (</w:t>
      </w:r>
      <w:r>
        <w:rPr>
          <w:b/>
        </w:rPr>
        <w:t>Aala</w:t>
      </w:r>
      <w:r>
        <w:t xml:space="preserve">). On balance, Friends of Felines has a </w:t>
      </w:r>
      <w:r>
        <w:rPr>
          <w:b/>
        </w:rPr>
        <w:t>reasonable but not certain</w:t>
      </w:r>
      <w:r>
        <w:t xml:space="preserve"> argument for standing in equity; the safer course is for Ms Anand (whose standing is unimpeachable) to be the applicant, with Friends of Felines joined or relegated to a supporting role.</w:t>
      </w:r>
    </w:p>
    <w:p w14:paraId="10C86D4E">
      <w:pPr>
        <w:spacing w:before="80" w:after="40"/>
      </w:pPr>
      <w:r>
        <w:rPr>
          <w:b/>
          <w:i/>
          <w:color w:val="595959"/>
        </w:rPr>
        <w:t>Conclusion</w:t>
      </w:r>
    </w:p>
    <w:p w14:paraId="6EC5D006">
      <w:pPr>
        <w:jc w:val="both"/>
      </w:pPr>
      <w:r>
        <w:t>Ms Anand has standing for all remedies sought. Friends of Felines Inc has an arguable special interest to challenge the destruction, but its standing is not assured; Ms Anand should be the principal applicant.</w:t>
      </w:r>
    </w:p>
    <w:p w14:paraId="171CAF44">
      <w:pPr>
        <w:spacing w:before="240" w:after="80"/>
      </w:pPr>
      <w:r>
        <w:rPr>
          <w:b/>
          <w:color w:val="1F4E79"/>
          <w:sz w:val="27"/>
        </w:rPr>
        <w:t>4. Grounds of Review</w:t>
      </w:r>
    </w:p>
    <w:p w14:paraId="15FDF5B5">
      <w:pPr>
        <w:jc w:val="both"/>
      </w:pPr>
      <w:r>
        <w:t>The grounds are set out below. For each, the case for the ground and the likely answer from the Council are stated, followed by a balanced assessment.</w:t>
      </w:r>
    </w:p>
    <w:p w14:paraId="55683BAE">
      <w:pPr>
        <w:jc w:val="both"/>
      </w:pPr>
      <w:r>
        <w:t xml:space="preserve">The statutory architecture repays close reading, and the contrast with s 10(2) is instructive. For cat </w:t>
      </w:r>
      <w:r>
        <w:rPr>
          <w:b/>
        </w:rPr>
        <w:t>registration</w:t>
      </w:r>
      <w:r>
        <w:t>, Parliament provided that a local government "</w:t>
      </w:r>
      <w:r>
        <w:rPr>
          <w:b/>
        </w:rPr>
        <w:t>must</w:t>
      </w:r>
      <w:r>
        <w:t xml:space="preserve"> refuse... </w:t>
      </w:r>
      <w:r>
        <w:rPr>
          <w:b/>
        </w:rPr>
        <w:t>if, and only if</w:t>
      </w:r>
      <w:r>
        <w:t xml:space="preserve">" satisfied of a listed matter: satisfaction is both necessary and sufficient, and refusal is mandatory. For </w:t>
      </w:r>
      <w:r>
        <w:rPr>
          <w:b/>
        </w:rPr>
        <w:t>breeding approvals</w:t>
      </w:r>
      <w:r>
        <w:t>, s 34(2) provides only that the local government "</w:t>
      </w:r>
      <w:r>
        <w:rPr>
          <w:b/>
        </w:rPr>
        <w:t>may</w:t>
      </w:r>
      <w:r>
        <w:t xml:space="preserve"> refuse... </w:t>
      </w:r>
      <w:r>
        <w:rPr>
          <w:b/>
        </w:rPr>
        <w:t>only if</w:t>
      </w:r>
      <w:r>
        <w:t xml:space="preserve"> satisfied" of a listed ground. The words "only if" make the list exhaustive — satisfaction of a listed ground is a </w:t>
      </w:r>
      <w:r>
        <w:rPr>
          <w:i/>
        </w:rPr>
        <w:t>necessary</w:t>
      </w:r>
      <w:r>
        <w:t xml:space="preserve"> condition of any refusal — but the "may" (deliberately, given the contrast with s 10(2)) preserves a </w:t>
      </w:r>
      <w:r>
        <w:rPr>
          <w:i/>
        </w:rPr>
        <w:t>residual discretion to grant even where a ground is made out</w:t>
      </w:r>
      <w:r>
        <w:t>. Parliament knew how to mandate refusal and chose not to. Three consequences follow: reasons 4 and 5 fail at the threshold (no listed ground); the Policy's blanket bar unlawfully converts a discretionary power into a mandatory one (4.11); and reg 8's command that a council "must not grant" is in tension with the discretionary structure of s 34 itself (4.12). Section 35 permits cancellation only if one of the s 34(2) matters "applies", and s 37 requires written reasons; the reasons given (set out in the facts) are the primary record against which the grounds are tested.</w:t>
      </w:r>
    </w:p>
    <w:p w14:paraId="5DAACBB7">
      <w:pPr>
        <w:spacing w:before="200" w:after="60"/>
      </w:pPr>
      <w:r>
        <w:rPr>
          <w:b/>
          <w:color w:val="1F4E79"/>
          <w:sz w:val="23"/>
        </w:rPr>
        <w:t>4.1 Acting Without Authority / Excess of Power</w:t>
      </w:r>
    </w:p>
    <w:p w14:paraId="640DA8E3">
      <w:pPr>
        <w:spacing w:before="80" w:after="40"/>
      </w:pPr>
      <w:r>
        <w:rPr>
          <w:b/>
          <w:i/>
          <w:color w:val="595959"/>
        </w:rPr>
        <w:t>Issue</w:t>
      </w:r>
    </w:p>
    <w:p w14:paraId="057AFCF7">
      <w:pPr>
        <w:jc w:val="both"/>
      </w:pPr>
      <w:r>
        <w:t>Whether the Council exercised the power on a basis outside the limits fixed by the Act.</w:t>
      </w:r>
    </w:p>
    <w:p w14:paraId="199EE88A">
      <w:pPr>
        <w:spacing w:before="80" w:after="40"/>
      </w:pPr>
      <w:r>
        <w:rPr>
          <w:b/>
          <w:i/>
          <w:color w:val="595959"/>
        </w:rPr>
        <w:t>Rule (ratio)</w:t>
      </w:r>
    </w:p>
    <w:p w14:paraId="7C911EBA">
      <w:pPr>
        <w:jc w:val="both"/>
      </w:pPr>
      <w:r>
        <w:t>A statutory power may be exercised only within the scope conferred, ascertained by construing the Act as a whole; an exercise outside that scope is made without authority and is invalid (</w:t>
      </w:r>
      <w:r>
        <w:rPr>
          <w:b/>
        </w:rPr>
        <w:t>ABC Developmental Learning Centres Pty Ltd v Secretary, Department of Human Services [2007] VSC 37; (2008) 15 VR 489</w:t>
      </w:r>
      <w:r>
        <w:t xml:space="preserve"> (Hollingworth J) — the authority underlying Seminar 3's "123 Jump" problem: officers' powers are confined to their statutory scope, and clear words are required before a power is read more widely). Where the empowering provision states an </w:t>
      </w:r>
      <w:r>
        <w:rPr>
          <w:b/>
        </w:rPr>
        <w:t>exhaustive</w:t>
      </w:r>
      <w:r>
        <w:t xml:space="preserve"> set of permissible grounds, a decision resting on a ground outside the list is ultra vires.</w:t>
      </w:r>
    </w:p>
    <w:p w14:paraId="09729FEB">
      <w:pPr>
        <w:spacing w:before="80" w:after="40"/>
      </w:pPr>
      <w:r>
        <w:rPr>
          <w:b/>
          <w:i/>
          <w:color w:val="595959"/>
        </w:rPr>
        <w:t>Application</w:t>
      </w:r>
    </w:p>
    <w:p w14:paraId="41D19A61">
      <w:pPr>
        <w:jc w:val="both"/>
      </w:pPr>
      <w:r>
        <w:t>Section 34(2) is exhaustive ("</w:t>
      </w:r>
      <w:r>
        <w:rPr>
          <w:b/>
        </w:rPr>
        <w:t>only if</w:t>
      </w:r>
      <w:r>
        <w:t xml:space="preserve">... </w:t>
      </w:r>
      <w:r>
        <w:rPr>
          <w:b/>
        </w:rPr>
        <w:t>one or more of the following</w:t>
      </w:r>
      <w:r>
        <w:t xml:space="preserve">"). Of the five reasons given, </w:t>
      </w:r>
      <w:r>
        <w:rPr>
          <w:b/>
        </w:rPr>
        <w:t>reason 5</w:t>
      </w:r>
      <w:r>
        <w:t xml:space="preserve"> ("the district already has a sufficient number of cat breeders") corresponds to </w:t>
      </w:r>
      <w:r>
        <w:rPr>
          <w:b/>
        </w:rPr>
        <w:t>no</w:t>
      </w:r>
      <w:r>
        <w:t xml:space="preserve"> paragraph of s 34(2) and is therefore not a ground on which refusal was authorised at all. </w:t>
      </w:r>
      <w:r>
        <w:rPr>
          <w:b/>
        </w:rPr>
        <w:t>Reason 4</w:t>
      </w:r>
      <w:r>
        <w:t xml:space="preserve"> (the Council's "firm position" that no approvals will be granted while the population exceeds target) likewise finds no footing in s 34(2) and reflects an extraneous policy objective (it is also a fettering and an improper-purpose point: 4.11, 4.2). To the extent the decision rests on reasons 4 and 5, it was made </w:t>
      </w:r>
      <w:r>
        <w:rPr>
          <w:b/>
        </w:rPr>
        <w:t>without authority</w:t>
      </w:r>
      <w:r>
        <w:t xml:space="preserve">. Separately, the </w:t>
      </w:r>
      <w:r>
        <w:rPr>
          <w:b/>
        </w:rPr>
        <w:t>threatened destruction</w:t>
      </w:r>
      <w:r>
        <w:t xml:space="preserve"> of Maximus exceeds s 31(2): that power arises only where the operator believes on reasonable grounds that the cat is "feral, diseased or dangerous" </w:t>
      </w:r>
      <w:r>
        <w:rPr>
          <w:b/>
        </w:rPr>
        <w:t>and</w:t>
      </w:r>
      <w:r>
        <w:t xml:space="preserve"> has caused or is likely to cause </w:t>
      </w:r>
      <w:r>
        <w:rPr>
          <w:b/>
        </w:rPr>
        <w:t>serious injury or illness</w:t>
      </w:r>
      <w:r>
        <w:t xml:space="preserve">. The Council's notice alleges only that Maximus is "dangerous" and does </w:t>
      </w:r>
      <w:r>
        <w:rPr>
          <w:b/>
        </w:rPr>
        <w:t>not</w:t>
      </w:r>
      <w:r>
        <w:t xml:space="preserve"> allege the second, conjunctive limb; the power is therefore unenlivened on the face of the notice.</w:t>
      </w:r>
    </w:p>
    <w:p w14:paraId="5380ACB8">
      <w:pPr>
        <w:jc w:val="both"/>
      </w:pPr>
      <w:r>
        <w:t xml:space="preserve">The Council may answer that s 34(2) requires satisfaction of only "one or more" grounds, so that the decision can be supported by a valid ground (e.g. reason 1, "fit and proper") notwithstanding the invalid reasons 4–5. That answer fails if the surviving grounds are themselves vitiated (as argued below) and is, in any event, a </w:t>
      </w:r>
      <w:r>
        <w:rPr>
          <w:b/>
        </w:rPr>
        <w:t>materiality/severance</w:t>
      </w:r>
      <w:r>
        <w:t xml:space="preserve"> question addressed at 5 and 6.</w:t>
      </w:r>
    </w:p>
    <w:p w14:paraId="4984B73C">
      <w:pPr>
        <w:spacing w:before="80" w:after="40"/>
      </w:pPr>
      <w:r>
        <w:rPr>
          <w:b/>
          <w:i/>
          <w:color w:val="595959"/>
        </w:rPr>
        <w:t>Conclusion</w:t>
      </w:r>
    </w:p>
    <w:p w14:paraId="2C7E6E63">
      <w:pPr>
        <w:jc w:val="both"/>
      </w:pPr>
      <w:r>
        <w:t>Reasons 4 and 5 are outside the exhaustive s 34(2) grounds and were given without authority; the s 31(2) destruction power is unenlivened on the face of the notice. This is a strong, clear ground, subject to the materiality/severance point.</w:t>
      </w:r>
    </w:p>
    <w:p w14:paraId="351DA328">
      <w:pPr>
        <w:spacing w:before="200" w:after="60"/>
      </w:pPr>
      <w:r>
        <w:rPr>
          <w:b/>
          <w:color w:val="1F4E79"/>
          <w:sz w:val="23"/>
        </w:rPr>
        <w:t>4.1a Error of Law</w:t>
      </w:r>
    </w:p>
    <w:p w14:paraId="4CF20A82">
      <w:pPr>
        <w:spacing w:before="80" w:after="40"/>
      </w:pPr>
      <w:r>
        <w:rPr>
          <w:b/>
          <w:i/>
          <w:color w:val="595959"/>
        </w:rPr>
        <w:t>Issue</w:t>
      </w:r>
    </w:p>
    <w:p w14:paraId="52DBACAF">
      <w:pPr>
        <w:jc w:val="both"/>
      </w:pPr>
      <w:r>
        <w:t>Whether the Council misdirected itself in law in the course of exercising a power it held.</w:t>
      </w:r>
    </w:p>
    <w:p w14:paraId="01554D9D">
      <w:pPr>
        <w:spacing w:before="80" w:after="40"/>
      </w:pPr>
      <w:r>
        <w:rPr>
          <w:b/>
          <w:i/>
          <w:color w:val="595959"/>
        </w:rPr>
        <w:t>Rule (ratio)</w:t>
      </w:r>
    </w:p>
    <w:p w14:paraId="44F6B8A8">
      <w:pPr>
        <w:jc w:val="both"/>
      </w:pPr>
      <w:r>
        <w:t>Error of law arises where a decision-maker, while exercising a power it holds, makes a legal mistake — typically by misconstruing a statutory term, applying the wrong test, or misunderstanding the legal limits of the power. Where the error goes to the limits of the power it is jurisdictional; where it does not but is apparent on the face of the record it remains correctable by certiorari at common law (</w:t>
      </w:r>
      <w:r>
        <w:rPr>
          <w:b/>
        </w:rPr>
        <w:t>Craig v South Australia (1995) 184 CLR 163; Kirk</w:t>
      </w:r>
      <w:r>
        <w:t>). In Victoria the reasons given form part of the record (ALA s 10; and the s 37 reasons are in any event before the Court).</w:t>
      </w:r>
    </w:p>
    <w:p w14:paraId="23DE13CF">
      <w:pPr>
        <w:spacing w:before="80" w:after="40"/>
      </w:pPr>
      <w:r>
        <w:rPr>
          <w:b/>
          <w:i/>
          <w:color w:val="595959"/>
        </w:rPr>
        <w:t>Application</w:t>
      </w:r>
    </w:p>
    <w:p w14:paraId="5D6EB195">
      <w:pPr>
        <w:jc w:val="both"/>
      </w:pPr>
      <w:r>
        <w:t xml:space="preserve">At least three legal errors appear on the face of the s 37 reasons. </w:t>
      </w:r>
      <w:r>
        <w:rPr>
          <w:b/>
        </w:rPr>
        <w:t>First</w:t>
      </w:r>
      <w:r>
        <w:t xml:space="preserve">, "fit and proper person" (s 34(2)(e)) is undefined; if the Council applied an erroneous understanding of that test (treating untrue hoarding rumours and the applicant's public criticism as bearing on fitness), it misconstrued the statutory criterion. </w:t>
      </w:r>
      <w:r>
        <w:rPr>
          <w:b/>
        </w:rPr>
        <w:t>Second</w:t>
      </w:r>
      <w:r>
        <w:t xml:space="preserve">, reason 2 treats a 2019 </w:t>
      </w:r>
      <w:r>
        <w:rPr>
          <w:b/>
        </w:rPr>
        <w:t>infringement notice</w:t>
      </w:r>
      <w:r>
        <w:t xml:space="preserve"> under unrelated legislation as a "conviction... within the previous three years of an offence against the Animal Welfare Act 2002" — a misconstruction of s 34(2)(d) (an infringement notice is not a conviction; 2019 is not within three years; and the legislation was not the Animal Welfare Act 2002). </w:t>
      </w:r>
      <w:r>
        <w:rPr>
          <w:b/>
        </w:rPr>
        <w:t>Third</w:t>
      </w:r>
      <w:r>
        <w:t>, reliance on reason 3 applies regulation 12, which is ultra vires (4.12), so the Council acted on a legally erroneous view of the applicable law. The Council can characterise some of these as factual rather than legal, but the construction of "fit and proper" and "conviction... within the previous three years" are questions of law.</w:t>
      </w:r>
    </w:p>
    <w:p w14:paraId="59FA8DD5">
      <w:pPr>
        <w:spacing w:before="80" w:after="40"/>
      </w:pPr>
      <w:r>
        <w:rPr>
          <w:b/>
          <w:i/>
          <w:color w:val="595959"/>
        </w:rPr>
        <w:t>Conclusion</w:t>
      </w:r>
    </w:p>
    <w:p w14:paraId="22015B80">
      <w:pPr>
        <w:jc w:val="both"/>
      </w:pPr>
      <w:r>
        <w:t>The decision discloses error(s) of law on the face of the record; the conviction and "fit and proper" errors go to the limits of the power and are jurisdictional. Strong ground.</w:t>
      </w:r>
    </w:p>
    <w:p w14:paraId="7EC08E1C">
      <w:pPr>
        <w:spacing w:before="200" w:after="60"/>
      </w:pPr>
      <w:r>
        <w:rPr>
          <w:b/>
          <w:color w:val="1F4E79"/>
          <w:sz w:val="23"/>
        </w:rPr>
        <w:t>4.2 Improper Purpose</w:t>
      </w:r>
    </w:p>
    <w:p w14:paraId="6E22183C">
      <w:pPr>
        <w:spacing w:before="80" w:after="40"/>
      </w:pPr>
      <w:r>
        <w:rPr>
          <w:b/>
          <w:i/>
          <w:color w:val="595959"/>
        </w:rPr>
        <w:t>Issue</w:t>
      </w:r>
    </w:p>
    <w:p w14:paraId="5A286718">
      <w:pPr>
        <w:jc w:val="both"/>
      </w:pPr>
      <w:r>
        <w:t>Whether the power was exercised substantially for a purpose other than those for which it was conferred.</w:t>
      </w:r>
    </w:p>
    <w:p w14:paraId="0DC1A075">
      <w:pPr>
        <w:spacing w:before="80" w:after="40"/>
      </w:pPr>
      <w:r>
        <w:rPr>
          <w:b/>
          <w:i/>
          <w:color w:val="595959"/>
        </w:rPr>
        <w:t>Rule (ratio)</w:t>
      </w:r>
    </w:p>
    <w:p w14:paraId="3E38681A">
      <w:pPr>
        <w:jc w:val="both"/>
      </w:pPr>
      <w:r>
        <w:t>A power may be exercised only for the purposes for which it was conferred, inferred from the Act as a whole (</w:t>
      </w:r>
      <w:r>
        <w:rPr>
          <w:b/>
        </w:rPr>
        <w:t>R v Toohey; Ex parte Northern Land Council (1981) 151 CLR 170</w:t>
      </w:r>
      <w:r>
        <w:t>); even a widely framed power must be exercised for the Act's purposes (</w:t>
      </w:r>
      <w:r>
        <w:rPr>
          <w:b/>
        </w:rPr>
        <w:t>Schlieske v Minister for Immigration and Ethnic Affairs (1988) 84 ALR 719</w:t>
      </w:r>
      <w:r>
        <w:t>); if a substantial purpose is improper, the exercise is invalid even if not the sole purpose (</w:t>
      </w:r>
      <w:r>
        <w:rPr>
          <w:b/>
        </w:rPr>
        <w:t>Samrein Pty Ltd v Metropolitan Water Sewerage and Drainage Board (1982) 41 ALR 467</w:t>
      </w:r>
      <w:r>
        <w:t>); the onus is on the applicant and it is a question of fact.</w:t>
      </w:r>
    </w:p>
    <w:p w14:paraId="5B5AFDA6">
      <w:pPr>
        <w:jc w:val="both"/>
      </w:pPr>
    </w:p>
    <w:p w14:paraId="2C743610">
      <w:pPr>
        <w:jc w:val="both"/>
        <w:rPr>
          <w:rFonts w:hint="default"/>
          <w:lang w:val="en-AU"/>
        </w:rPr>
      </w:pPr>
      <w:r>
        <w:rPr>
          <w:rFonts w:hint="default"/>
          <w:lang w:val="en-AU"/>
        </w:rPr>
        <w:t xml:space="preserve">Substantial means the power would not have been exercised had there not been a desire to achieve the unauthorized purpose (Samrein). </w:t>
      </w:r>
    </w:p>
    <w:p w14:paraId="2937F670">
      <w:pPr>
        <w:jc w:val="both"/>
        <w:rPr>
          <w:rFonts w:hint="default"/>
          <w:lang w:val="en-AU"/>
        </w:rPr>
      </w:pPr>
    </w:p>
    <w:p w14:paraId="35ECB2E9">
      <w:pPr>
        <w:jc w:val="both"/>
        <w:rPr>
          <w:rFonts w:hint="default"/>
          <w:lang w:val="en-AU"/>
        </w:rPr>
      </w:pPr>
      <w:r>
        <w:rPr>
          <w:rFonts w:hint="default"/>
          <w:lang w:val="en-AU"/>
        </w:rPr>
        <w:t xml:space="preserve">High Bar: An improper purpose will not be lightly inferred and, by application of a presumption of regularity, will only be inferred if the evidence cannot be reconciled with the proper exercise of the power. </w:t>
      </w:r>
    </w:p>
    <w:p w14:paraId="0FFC822C">
      <w:pPr>
        <w:jc w:val="both"/>
        <w:rPr>
          <w:rFonts w:hint="default"/>
          <w:lang w:val="en-AU"/>
        </w:rPr>
      </w:pPr>
    </w:p>
    <w:p w14:paraId="516F2E71">
      <w:pPr>
        <w:spacing w:before="80" w:after="40"/>
      </w:pPr>
      <w:r>
        <w:rPr>
          <w:b/>
          <w:i/>
          <w:color w:val="595959"/>
        </w:rPr>
        <w:t>Application</w:t>
      </w:r>
    </w:p>
    <w:p w14:paraId="189467FF">
      <w:pPr>
        <w:jc w:val="both"/>
      </w:pPr>
      <w:r>
        <w:t xml:space="preserve">The Act's objects (s 3) are confined to identifying and recording cats and promoting responsible ownership. The facts suggest two improper purposes: (i) </w:t>
      </w:r>
      <w:r>
        <w:rPr>
          <w:b/>
        </w:rPr>
        <w:t>retaliation</w:t>
      </w:r>
      <w:r>
        <w:t xml:space="preserve"> for Ms Anand's public criticism of the curfew (Cr Sage was "furious"; her email of 1 May directed refusal; reason 3 expressly penalises the criticism); and (ii) advancing the </w:t>
      </w:r>
      <w:r>
        <w:rPr>
          <w:b/>
        </w:rPr>
        <w:t>commercial interests</w:t>
      </w:r>
      <w:r>
        <w:t xml:space="preserve"> of Mr Boyle's sister's competing cattery. Either, if a substantial purpose, vitiates the decision. The Council will respond that the operative reason was the (purported) statutory grounds and that motive cannot be inferred merely from Cr Sage's reaction; but the express reliance on the criticism (reason 3) and the Sage email make the improper purpose unusually well-evidenced for this ground.</w:t>
      </w:r>
    </w:p>
    <w:p w14:paraId="4C5AB44E">
      <w:pPr>
        <w:spacing w:before="80" w:after="40"/>
      </w:pPr>
      <w:r>
        <w:rPr>
          <w:b/>
          <w:i/>
          <w:color w:val="595959"/>
        </w:rPr>
        <w:t>Conclusion</w:t>
      </w:r>
    </w:p>
    <w:p w14:paraId="1D2B40D2">
      <w:pPr>
        <w:jc w:val="both"/>
      </w:pPr>
      <w:r>
        <w:t>There is a strong, well-evidenced improper-purpose case, though such grounds are always fact-sensitive. Best run together with bias (4.7) and irrelevant considerations (4.4).</w:t>
      </w:r>
    </w:p>
    <w:p w14:paraId="06D6D094">
      <w:pPr>
        <w:spacing w:before="200" w:after="60"/>
      </w:pPr>
      <w:r>
        <w:rPr>
          <w:b/>
          <w:color w:val="1F4E79"/>
          <w:sz w:val="23"/>
        </w:rPr>
        <w:t>4.3 Failure to Take into Account a Relevant Consideration</w:t>
      </w:r>
    </w:p>
    <w:p w14:paraId="16C464C6">
      <w:pPr>
        <w:spacing w:before="80" w:after="40"/>
      </w:pPr>
      <w:r>
        <w:rPr>
          <w:b/>
          <w:i/>
          <w:color w:val="595959"/>
        </w:rPr>
        <w:t>Issue</w:t>
      </w:r>
    </w:p>
    <w:p w14:paraId="51C455EF">
      <w:pPr>
        <w:jc w:val="both"/>
      </w:pPr>
      <w:r>
        <w:t>Whether the Council failed to consider a consideration it was bound to consider.</w:t>
      </w:r>
    </w:p>
    <w:p w14:paraId="362C0B71">
      <w:pPr>
        <w:spacing w:before="80" w:after="40"/>
      </w:pPr>
      <w:r>
        <w:rPr>
          <w:b/>
          <w:i/>
          <w:color w:val="595959"/>
        </w:rPr>
        <w:t>Rule (ratio)</w:t>
      </w:r>
    </w:p>
    <w:p w14:paraId="56C834E4">
      <w:pPr>
        <w:jc w:val="both"/>
      </w:pPr>
      <w:r>
        <w:t>The subject matter, scope and purpose of the Act may require a consideration to be taken into account (</w:t>
      </w:r>
      <w:r>
        <w:rPr>
          <w:b/>
        </w:rPr>
        <w:t>Mason J, Minister for Aboriginal Affairs v Peko-Wallsend Ltd (1986) 162 CLR 24</w:t>
      </w:r>
      <w:r>
        <w:t xml:space="preserve">); error is established where the decision-maker fails to consider something it is </w:t>
      </w:r>
      <w:r>
        <w:rPr>
          <w:b/>
        </w:rPr>
        <w:t>bound</w:t>
      </w:r>
      <w:r>
        <w:t xml:space="preserve"> to consider; consideration requires an </w:t>
      </w:r>
      <w:r>
        <w:rPr>
          <w:b/>
        </w:rPr>
        <w:t>active intellectual process</w:t>
      </w:r>
      <w:r>
        <w:t xml:space="preserve"> directed at the material (</w:t>
      </w:r>
      <w:r>
        <w:rPr>
          <w:b/>
        </w:rPr>
        <w:t>Tickner v Chapman (1995) 57 FCR 451; Plaintiff M1/2021 v Minister for Home Affairs (2022) 275 CLR 582</w:t>
      </w:r>
      <w:r>
        <w:t>), the required effort varying with its content and relevance; the decision must proceed on the most recent and accurate information at hand (</w:t>
      </w:r>
      <w:r>
        <w:rPr>
          <w:b/>
        </w:rPr>
        <w:t>Peko-Wallsend</w:t>
      </w:r>
      <w:r>
        <w:t>); weight is otherwise for the decision-maker (</w:t>
      </w:r>
      <w:r>
        <w:rPr>
          <w:b/>
        </w:rPr>
        <w:t>Peko-Wallsend</w:t>
      </w:r>
      <w:r>
        <w:t>).</w:t>
      </w:r>
    </w:p>
    <w:p w14:paraId="40443C62">
      <w:pPr>
        <w:spacing w:before="80" w:after="40"/>
      </w:pPr>
      <w:r>
        <w:rPr>
          <w:b/>
          <w:i/>
          <w:color w:val="595959"/>
        </w:rPr>
        <w:t>Application</w:t>
      </w:r>
    </w:p>
    <w:p w14:paraId="4F398A85">
      <w:pPr>
        <w:jc w:val="both"/>
      </w:pPr>
      <w:r>
        <w:t xml:space="preserve">Section 34(2)(b) and (c) make the adequacy of the applicant's </w:t>
      </w:r>
      <w:r>
        <w:rPr>
          <w:b/>
        </w:rPr>
        <w:t>facilities</w:t>
      </w:r>
      <w:r>
        <w:t xml:space="preserve"> and </w:t>
      </w:r>
      <w:r>
        <w:rPr>
          <w:b/>
        </w:rPr>
        <w:t>premises</w:t>
      </w:r>
      <w:r>
        <w:t xml:space="preserve"> central statutory criteria. Ms Anand's application squarely addressed them with a description of her facilities, two veterinary references and Dr Lim's independent assessment concluding the cattery was "exemplary". Mr Boyle </w:t>
      </w:r>
      <w:r>
        <w:rPr>
          <w:b/>
        </w:rPr>
        <w:t>did not read</w:t>
      </w:r>
      <w:r>
        <w:t xml:space="preserve"> any of this material. That is not a question of weight but of complete non-engagement: a blanket failure to read the material negates any active intellectual process (</w:t>
      </w:r>
      <w:r>
        <w:rPr>
          <w:b/>
        </w:rPr>
        <w:t>Tickner</w:t>
      </w:r>
      <w:r>
        <w:t>), and the decision was not made on the most recent and accurate information at hand (</w:t>
      </w:r>
      <w:r>
        <w:rPr>
          <w:b/>
        </w:rPr>
        <w:t>Peko-Wallsend</w:t>
      </w:r>
      <w:r>
        <w:t>). The Council might argue it needed only be satisfied of one ground to refuse and so was not bound to weigh the facilities evidence; but where its reasons purport to find her not "fit and proper", the unread expert evidence of exemplary husbandry was a consideration it was bound to confront.</w:t>
      </w:r>
    </w:p>
    <w:p w14:paraId="1BE21FC8">
      <w:pPr>
        <w:spacing w:before="80" w:after="40"/>
      </w:pPr>
      <w:r>
        <w:rPr>
          <w:b/>
          <w:i/>
          <w:color w:val="595959"/>
        </w:rPr>
        <w:t>Conclusion</w:t>
      </w:r>
    </w:p>
    <w:p w14:paraId="15101D7F">
      <w:pPr>
        <w:jc w:val="both"/>
      </w:pPr>
      <w:r>
        <w:t>Strong ground: the only substantive evidence going to the statutory facilities/premises and fitness criteria was ignored.</w:t>
      </w:r>
    </w:p>
    <w:p w14:paraId="72DB41B9">
      <w:pPr>
        <w:spacing w:before="200" w:after="60"/>
      </w:pPr>
      <w:r>
        <w:rPr>
          <w:b/>
          <w:color w:val="1F4E79"/>
          <w:sz w:val="23"/>
        </w:rPr>
        <w:t>4.4 Taking into Account an Irrelevant Consideration</w:t>
      </w:r>
    </w:p>
    <w:p w14:paraId="2AE52E8B">
      <w:pPr>
        <w:spacing w:before="80" w:after="40"/>
      </w:pPr>
      <w:r>
        <w:rPr>
          <w:b/>
          <w:i/>
          <w:color w:val="595959"/>
        </w:rPr>
        <w:t>Issue</w:t>
      </w:r>
    </w:p>
    <w:p w14:paraId="0329711B">
      <w:pPr>
        <w:jc w:val="both"/>
      </w:pPr>
      <w:r>
        <w:t>Whether the Council took into account matters it was bound not to consider.</w:t>
      </w:r>
    </w:p>
    <w:p w14:paraId="19AE8507">
      <w:pPr>
        <w:spacing w:before="80" w:after="40"/>
      </w:pPr>
      <w:r>
        <w:rPr>
          <w:b/>
          <w:i/>
          <w:color w:val="595959"/>
        </w:rPr>
        <w:t>Rule (ratio)</w:t>
      </w:r>
    </w:p>
    <w:p w14:paraId="7762E2A6">
      <w:pPr>
        <w:jc w:val="both"/>
      </w:pPr>
      <w:r>
        <w:t xml:space="preserve">The Act may, expressly or by implication, require that a matter </w:t>
      </w:r>
      <w:r>
        <w:rPr>
          <w:b/>
        </w:rPr>
        <w:t>not</w:t>
      </w:r>
      <w:r>
        <w:t xml:space="preserve"> be taken into account (</w:t>
      </w:r>
      <w:r>
        <w:rPr>
          <w:b/>
        </w:rPr>
        <w:t>Peko-Wallsend</w:t>
      </w:r>
      <w:r>
        <w:t>). Where the permissible grounds are exhaustively stated, matters outside them are irrelevant.</w:t>
      </w:r>
    </w:p>
    <w:p w14:paraId="15EFB99E">
      <w:pPr>
        <w:spacing w:before="80" w:after="40"/>
      </w:pPr>
      <w:r>
        <w:rPr>
          <w:b/>
          <w:i/>
          <w:color w:val="595959"/>
        </w:rPr>
        <w:t>Application</w:t>
      </w:r>
    </w:p>
    <w:p w14:paraId="6576736E">
      <w:pPr>
        <w:jc w:val="both"/>
      </w:pPr>
      <w:r>
        <w:t xml:space="preserve">The Council relied on: untrue </w:t>
      </w:r>
      <w:r>
        <w:rPr>
          <w:b/>
        </w:rPr>
        <w:t>anonymous "PawPrint" allegations</w:t>
      </w:r>
      <w:r>
        <w:t xml:space="preserve"> of hoarding (an extraneous and unverified matter); the existence of "a sufficient number of breeders" and the population target (matters outside s 34(2)); and Ms Anand's </w:t>
      </w:r>
      <w:r>
        <w:rPr>
          <w:b/>
        </w:rPr>
        <w:t>public criticism</w:t>
      </w:r>
      <w:r>
        <w:t xml:space="preserve"> of the Council (relevant only via the ultra vires reg 12). None is a consideration the Act permitted the Council to act upon in deciding suitability to breed. The Council will say the anonymous material was relevant to "fit and proper"; but acting on unverified, untrue anonymous rumour, without inquiry, is the paradigm of reliance on an irrelevant (and legally insufficient) consideration.</w:t>
      </w:r>
    </w:p>
    <w:p w14:paraId="08058B13">
      <w:pPr>
        <w:spacing w:before="80" w:after="40"/>
      </w:pPr>
      <w:r>
        <w:rPr>
          <w:b/>
          <w:i/>
          <w:color w:val="595959"/>
        </w:rPr>
        <w:t>Conclusion</w:t>
      </w:r>
    </w:p>
    <w:p w14:paraId="4A1E1EB7">
      <w:pPr>
        <w:jc w:val="both"/>
      </w:pPr>
      <w:r>
        <w:t>Strong ground; closely tied to 4.1, 4.3 and unreasonableness (4.10).</w:t>
      </w:r>
    </w:p>
    <w:p w14:paraId="451A32C6">
      <w:pPr>
        <w:spacing w:before="200" w:after="60"/>
      </w:pPr>
      <w:r>
        <w:rPr>
          <w:b/>
          <w:color w:val="1F4E79"/>
          <w:sz w:val="23"/>
        </w:rPr>
        <w:t>4.5 Invalid Delegation</w:t>
      </w:r>
    </w:p>
    <w:p w14:paraId="54B3852A">
      <w:pPr>
        <w:spacing w:before="80" w:after="40"/>
      </w:pPr>
      <w:r>
        <w:rPr>
          <w:b/>
          <w:i/>
          <w:color w:val="595959"/>
        </w:rPr>
        <w:t>Issue</w:t>
      </w:r>
    </w:p>
    <w:p w14:paraId="5DA4B634">
      <w:pPr>
        <w:jc w:val="both"/>
      </w:pPr>
      <w:r>
        <w:t>Whether the decision was made by a person with authority, and whether the decision-maker improperly acted under another's dictation.</w:t>
      </w:r>
    </w:p>
    <w:p w14:paraId="10A5DC3A">
      <w:pPr>
        <w:spacing w:before="80" w:after="40"/>
      </w:pPr>
      <w:r>
        <w:rPr>
          <w:b/>
          <w:i/>
          <w:color w:val="595959"/>
        </w:rPr>
        <w:t>Rule (ratio)</w:t>
      </w:r>
    </w:p>
    <w:p w14:paraId="7971A091">
      <w:pPr>
        <w:jc w:val="both"/>
      </w:pPr>
      <w:r>
        <w:t>Whether a statutory power must be exercised personally by its designated repository, or may be exercised by another, is a question of statutory construction (</w:t>
      </w:r>
      <w:r>
        <w:rPr>
          <w:b/>
        </w:rPr>
        <w:t>Pattenden v Commissioner of Taxation [2008] FCA 1590</w:t>
      </w:r>
      <w:r>
        <w:t xml:space="preserve"> (Logan J)). </w:t>
      </w:r>
    </w:p>
    <w:p w14:paraId="6BD405CE">
      <w:pPr>
        <w:jc w:val="both"/>
      </w:pPr>
      <w:r>
        <w:rPr>
          <w:rFonts w:hint="default"/>
          <w:lang w:val="en-AU"/>
        </w:rPr>
        <w:t>This depends on the nature of the power and other circumstances, like size of the department, geographical area that the department is responsible for, frequency of the kind of decision making (</w:t>
      </w:r>
      <w:r>
        <w:rPr>
          <w:b/>
        </w:rPr>
        <w:t>Pattenden</w:t>
      </w:r>
      <w:r>
        <w:rPr>
          <w:rFonts w:hint="default"/>
          <w:lang w:val="en-AU"/>
        </w:rPr>
        <w:t xml:space="preserve">). </w:t>
      </w:r>
    </w:p>
    <w:p w14:paraId="6C2431CA">
      <w:pPr>
        <w:jc w:val="both"/>
      </w:pPr>
      <w:r>
        <w:t xml:space="preserve">The </w:t>
      </w:r>
      <w:r>
        <w:rPr>
          <w:i/>
        </w:rPr>
        <w:t>Carltona</w:t>
      </w:r>
      <w:r>
        <w:t xml:space="preserve"> principle permits a repository to act through duly authorised officers where the nature, scope and purpose of the function make personal exercise impractical (</w:t>
      </w:r>
      <w:r>
        <w:rPr>
          <w:b/>
        </w:rPr>
        <w:t>Carltona Ltd v Commissioners of Works [1943] 2 All ER 560</w:t>
      </w:r>
      <w:r>
        <w:t xml:space="preserve">; discussed by Mason J in </w:t>
      </w:r>
      <w:r>
        <w:rPr>
          <w:b/>
        </w:rPr>
        <w:t>Minister for Aboriginal Affairs v Peko-Wallsend Ltd (1986) 162 CLR 24</w:t>
      </w:r>
      <w:r>
        <w:t xml:space="preserve">). Where, however, the statute confers an </w:t>
      </w:r>
      <w:r>
        <w:rPr>
          <w:b/>
        </w:rPr>
        <w:t>express and specific power of delegation</w:t>
      </w:r>
      <w:r>
        <w:t xml:space="preserve">, that power defines and confines how the function may be devolved. </w:t>
      </w:r>
    </w:p>
    <w:p w14:paraId="66FFD89E">
      <w:pPr>
        <w:spacing w:before="80" w:after="40"/>
      </w:pPr>
      <w:r>
        <w:rPr>
          <w:b/>
          <w:i/>
          <w:color w:val="595959"/>
        </w:rPr>
        <w:t>Application</w:t>
      </w:r>
    </w:p>
    <w:p w14:paraId="51E4EF4C">
      <w:pPr>
        <w:jc w:val="both"/>
      </w:pPr>
      <w:r>
        <w:rPr>
          <w:b/>
        </w:rPr>
        <w:t>Authority.</w:t>
      </w:r>
      <w:r>
        <w:t xml:space="preserve"> Section 40(1) permits the Council to delegate its functions </w:t>
      </w:r>
      <w:r>
        <w:rPr>
          <w:b/>
        </w:rPr>
        <w:t>only to its CEO</w:t>
      </w:r>
      <w:r>
        <w:t xml:space="preserve">. The Council validly delegated to CEO Whitlock (by absolute majority, in writing, recorded in the register: s 40(2)–(3)). But the CEO did not decide; she instructed </w:t>
      </w:r>
      <w:r>
        <w:rPr>
          <w:b/>
        </w:rPr>
        <w:t>Mr Boyle, the Animal Management Coordinator, who is not the CEO</w:t>
      </w:r>
      <w:r>
        <w:t xml:space="preserve">, and there is </w:t>
      </w:r>
      <w:r>
        <w:rPr>
          <w:b/>
        </w:rPr>
        <w:t>no instrument of delegation to him</w:t>
      </w:r>
      <w:r>
        <w:t xml:space="preserve">. On the face of s 40(1), Mr Boyle had no authority to exercise the power, and his decision is a nullity. The Council's likely answer is twofold: (i) </w:t>
      </w:r>
      <w:r>
        <w:rPr>
          <w:b/>
        </w:rPr>
        <w:t>s 42(1)</w:t>
      </w:r>
      <w:r>
        <w:t xml:space="preserve"> refers to a register of delegations "to the CEO </w:t>
      </w:r>
      <w:r>
        <w:rPr>
          <w:b/>
        </w:rPr>
        <w:t>and to employees</w:t>
      </w:r>
      <w:r>
        <w:t xml:space="preserve">", which it will say contemplates employee-level delegation; and (ii) the </w:t>
      </w:r>
      <w:r>
        <w:rPr>
          <w:i/>
        </w:rPr>
        <w:t>Carltona</w:t>
      </w:r>
      <w:r>
        <w:t xml:space="preserve"> principle and the Interpretation Act 1984 (as applied by s 41) permit the CEO to act through departmental officers. The better view is that s 40(1) is the </w:t>
      </w:r>
      <w:r>
        <w:rPr>
          <w:b/>
        </w:rPr>
        <w:t>sole, specific</w:t>
      </w:r>
      <w:r>
        <w:t xml:space="preserve"> delegation power and is confined to the CEO; s 42(1) is a record-keeping provision that cannot enlarge the substantive delegation power; and in any event s 40(2) requires any delegation to be "in writing", which is absent for Mr Boyle, so neither a sub-delegation nor a </w:t>
      </w:r>
      <w:r>
        <w:rPr>
          <w:i/>
        </w:rPr>
        <w:t>Carltona</w:t>
      </w:r>
      <w:r>
        <w:t xml:space="preserve"> alter-ego argument succeeds for a discretionary, individuated licensing decision of this kind. Section 41 (which applies the Interpretation Act 1984 ss 58–59 to delegations under the Division) does not assist the Council either: those provisions regulate the effect and exercise of delegations that have been validly made, and cannot supply a written delegation to Mr Boyle that was never made. The Council may finally invoke </w:t>
      </w:r>
      <w:r>
        <w:rPr>
          <w:b/>
        </w:rPr>
        <w:t>Pattenden</w:t>
      </w:r>
      <w:r>
        <w:t xml:space="preserve">'s acknowledgment that authority to act in the repository's name need not rest on a formal instrument but may be found in </w:t>
      </w:r>
      <w:r>
        <w:rPr>
          <w:b/>
        </w:rPr>
        <w:t>departmental practice</w:t>
      </w:r>
      <w:r>
        <w:t xml:space="preserve">; but </w:t>
      </w:r>
      <w:r>
        <w:rPr>
          <w:i/>
        </w:rPr>
        <w:t>Pattenden</w:t>
      </w:r>
      <w:r>
        <w:t xml:space="preserve"> itself held that where the substantive value judgment is made by an unauthorised subordinate the decision is invalid, and the factors there identified — the nature of the power, and the volume and routineness of its exercise — tell decisively against any informal agency arrangement for an individuated, livelihood-destroying licensing decision. This is a clean and powerful ground.</w:t>
      </w:r>
    </w:p>
    <w:p w14:paraId="563B8206">
      <w:pPr>
        <w:jc w:val="both"/>
      </w:pPr>
      <w:r>
        <w:rPr>
          <w:b/>
        </w:rPr>
        <w:t>Dictation.</w:t>
      </w:r>
      <w:r>
        <w:t xml:space="preserve"> Independently, Cr Sage's email of 1 May 2026 directed that "the Anand application must be refused", and Mr Boyle's file note records that he "would do as the Councillor required". If the decision-maker surrendered the statutory discretion to the Councillor's direction, the decision was made under dictation and is invalid. The Council may answer that the email and file note merely evidence the political context, and that the mere receipt of a direction or representation does not establish abdication where the decision-maker still formed their own view on the listed grounds. That answer is weak here: the file note records not that Mr Boyle weighed the Councillor's view but that he "would do as the Councillor required" — on its face, surrender of the discretion rather than independent judgment.</w:t>
      </w:r>
    </w:p>
    <w:p w14:paraId="0B0AEBC2">
      <w:pPr>
        <w:spacing w:before="80" w:after="40"/>
      </w:pPr>
      <w:r>
        <w:rPr>
          <w:b/>
          <w:i/>
          <w:color w:val="595959"/>
        </w:rPr>
        <w:t>Conclusion</w:t>
      </w:r>
    </w:p>
    <w:p w14:paraId="7AD9F950">
      <w:pPr>
        <w:jc w:val="both"/>
      </w:pPr>
      <w:r>
        <w:t>The unauthorised-decision-maker ground is strong and, if accepted, voids the decision wholesale without any need to prove anything further. The dictation ground is a strong, independent alternative. The s 42 counter-argument must be confronted but is answerable.</w:t>
      </w:r>
    </w:p>
    <w:p w14:paraId="084D1EC4">
      <w:pPr>
        <w:spacing w:before="200" w:after="60"/>
      </w:pPr>
      <w:r>
        <w:rPr>
          <w:b/>
          <w:color w:val="1F4E79"/>
          <w:sz w:val="23"/>
        </w:rPr>
        <w:t>4.6 Procedural Fairness — Hearing Rule</w:t>
      </w:r>
    </w:p>
    <w:p w14:paraId="1AEC0E62">
      <w:pPr>
        <w:spacing w:before="80" w:after="40"/>
      </w:pPr>
      <w:r>
        <w:rPr>
          <w:b/>
          <w:i/>
          <w:color w:val="595959"/>
        </w:rPr>
        <w:t>Issue</w:t>
      </w:r>
    </w:p>
    <w:p w14:paraId="5C94FF0A">
      <w:pPr>
        <w:jc w:val="both"/>
      </w:pPr>
      <w:r>
        <w:t>Whether the Council denied Ms Anand procedural fairness.</w:t>
      </w:r>
    </w:p>
    <w:p w14:paraId="0172F115">
      <w:pPr>
        <w:spacing w:before="80" w:after="40"/>
      </w:pPr>
      <w:r>
        <w:rPr>
          <w:b/>
          <w:i/>
          <w:color w:val="595959"/>
        </w:rPr>
        <w:t>Rule (ratio)</w:t>
      </w:r>
    </w:p>
    <w:p w14:paraId="6F912805">
      <w:pPr>
        <w:jc w:val="both"/>
      </w:pPr>
      <w:r>
        <w:t xml:space="preserve">The hearing rule applies unless clearly excluded — a question of statutory construction attended by a </w:t>
      </w:r>
      <w:r>
        <w:rPr>
          <w:b/>
        </w:rPr>
        <w:t>strong common law presumption</w:t>
      </w:r>
      <w:r>
        <w:t xml:space="preserve"> that procedural fairness conditions any power "capable of having an adverse effect on legally recognised rights or interests" (</w:t>
      </w:r>
      <w:r>
        <w:rPr>
          <w:b/>
        </w:rPr>
        <w:t>Badari v Northern Land Council [2025] HCA 47; Kioa v West (1985) 159 CLR 550; Saeed v Minister for Immigration and Citizenship (2010) 241 CLR 252</w:t>
      </w:r>
      <w:r>
        <w:t>). Its content is flexible, appropriate and adapted to the circumstances, determined by the facts and the scope and nature of the power, and can range from a full trial to nothingness (</w:t>
      </w:r>
      <w:r>
        <w:rPr>
          <w:b/>
        </w:rPr>
        <w:t>Badari; Brennan J, Kioa; Minister for Immigration and Border Protection v WZARH (2015) 256 CLR 326</w:t>
      </w:r>
      <w:r>
        <w:t xml:space="preserve">); where adverse information is </w:t>
      </w:r>
      <w:r>
        <w:rPr>
          <w:b/>
        </w:rPr>
        <w:t>credible, relevant and significant</w:t>
      </w:r>
      <w:r>
        <w:t>, there is generally a requirement to disclose it and give an opportunity to respond (</w:t>
      </w:r>
      <w:r>
        <w:rPr>
          <w:b/>
        </w:rPr>
        <w:t>Brennan J, Kioa</w:t>
      </w:r>
      <w:r>
        <w:t>); the opportunity must be real (</w:t>
      </w:r>
      <w:r>
        <w:rPr>
          <w:b/>
        </w:rPr>
        <w:t>Nathanson v Minister for Home Affairs (2022) 276 CLR 80</w:t>
      </w:r>
      <w:r>
        <w:t>).</w:t>
      </w:r>
    </w:p>
    <w:p w14:paraId="5D2B8C87">
      <w:pPr>
        <w:jc w:val="both"/>
      </w:pPr>
    </w:p>
    <w:p w14:paraId="41BBCB1B">
      <w:pPr>
        <w:numPr>
          <w:ilvl w:val="2"/>
          <w:numId w:val="7"/>
        </w:numPr>
        <w:ind w:left="1260" w:leftChars="0" w:hanging="420" w:firstLineChars="0"/>
        <w:rPr>
          <w:rFonts w:hint="default"/>
          <w:b w:val="0"/>
          <w:bCs w:val="0"/>
          <w:lang w:val="en-AU"/>
        </w:rPr>
      </w:pPr>
      <w:r>
        <w:rPr>
          <w:rFonts w:hint="default"/>
          <w:b w:val="0"/>
          <w:bCs w:val="0"/>
          <w:lang w:val="en-AU"/>
        </w:rPr>
        <w:t>Circumstances that can affect whether natural justice applies [10.3.27]</w:t>
      </w:r>
    </w:p>
    <w:p w14:paraId="15558D6B">
      <w:pPr>
        <w:numPr>
          <w:ilvl w:val="3"/>
          <w:numId w:val="7"/>
        </w:numPr>
        <w:ind w:left="1680" w:leftChars="0" w:hanging="420" w:firstLineChars="0"/>
        <w:rPr>
          <w:rFonts w:hint="default"/>
          <w:b w:val="0"/>
          <w:bCs w:val="0"/>
          <w:lang w:val="en-AU"/>
        </w:rPr>
      </w:pPr>
      <w:r>
        <w:rPr>
          <w:rFonts w:hint="default"/>
          <w:b w:val="0"/>
          <w:bCs w:val="0"/>
          <w:lang w:val="en-AU"/>
        </w:rPr>
        <w:t>Urgent decision</w:t>
      </w:r>
    </w:p>
    <w:p w14:paraId="4F6BF1DD">
      <w:pPr>
        <w:numPr>
          <w:ilvl w:val="3"/>
          <w:numId w:val="7"/>
        </w:numPr>
        <w:ind w:left="1680" w:leftChars="0" w:hanging="420" w:firstLineChars="0"/>
        <w:rPr>
          <w:rFonts w:hint="default"/>
          <w:b w:val="0"/>
          <w:bCs w:val="0"/>
          <w:lang w:val="en-AU"/>
        </w:rPr>
      </w:pPr>
      <w:r>
        <w:rPr>
          <w:rFonts w:hint="default"/>
          <w:b w:val="0"/>
          <w:bCs w:val="0"/>
          <w:lang w:val="en-AU"/>
        </w:rPr>
        <w:t xml:space="preserve">Implying fairness would undermine the purpose of legislation granting a prison official an “absolute discretion” to place and classify prisons. </w:t>
      </w:r>
    </w:p>
    <w:p w14:paraId="3CC116A2">
      <w:pPr>
        <w:numPr>
          <w:ilvl w:val="3"/>
          <w:numId w:val="7"/>
        </w:numPr>
        <w:ind w:left="1680" w:leftChars="0" w:hanging="420" w:firstLineChars="0"/>
        <w:rPr>
          <w:rFonts w:hint="default"/>
          <w:b w:val="0"/>
          <w:bCs w:val="0"/>
          <w:lang w:val="en-AU"/>
        </w:rPr>
      </w:pPr>
      <w:r>
        <w:rPr>
          <w:rFonts w:hint="default"/>
          <w:b w:val="0"/>
          <w:bCs w:val="0"/>
          <w:lang w:val="en-AU"/>
        </w:rPr>
        <w:t>Highly sensitive work conducted (e.g. national security)</w:t>
      </w:r>
    </w:p>
    <w:p w14:paraId="16F7C5E1">
      <w:pPr>
        <w:jc w:val="both"/>
      </w:pPr>
    </w:p>
    <w:p w14:paraId="65AD45A5">
      <w:pPr>
        <w:spacing w:before="80" w:after="40"/>
      </w:pPr>
      <w:r>
        <w:rPr>
          <w:b/>
          <w:i/>
          <w:color w:val="595959"/>
        </w:rPr>
        <w:t>Application</w:t>
      </w:r>
    </w:p>
    <w:p w14:paraId="2FBB45DC">
      <w:pPr>
        <w:jc w:val="both"/>
      </w:pPr>
      <w:r>
        <w:t xml:space="preserve">The Act does not exclude procedural fairness (s 37 provides for reasons after the event but says nothing displacing a prior hearing); the presumption therefore applies to a decision that destroys an existing approval and reputation. The Council relied on </w:t>
      </w:r>
      <w:r>
        <w:rPr>
          <w:b/>
        </w:rPr>
        <w:t>credible-looking but untrue anonymous allegations</w:t>
      </w:r>
      <w:r>
        <w:t xml:space="preserve"> of hoarding that were never put to Ms Anand, and decided without telling her that her renewal was in jeopardy or inviting a response — precisely the vice in </w:t>
      </w:r>
      <w:r>
        <w:rPr>
          <w:b/>
        </w:rPr>
        <w:t>Kioa</w:t>
      </w:r>
      <w:r>
        <w:t xml:space="preserve"> and </w:t>
      </w:r>
      <w:r>
        <w:rPr>
          <w:b/>
        </w:rPr>
        <w:t>Nathanson</w:t>
      </w:r>
      <w:r>
        <w:t xml:space="preserve">. Had she been given the chance, she could readily have rebutted the allegations (as the facts show them to be false), so the denial was material (6). The Council may argue the statutory scheme (application plus s 37 reasons) impliedly limits the hearing to the written application; but that does not licence reliance on undisclosed extraneous adverse material. Nor can the Council shelter behind </w:t>
      </w:r>
      <w:r>
        <w:rPr>
          <w:b/>
        </w:rPr>
        <w:t>Badari</w:t>
      </w:r>
      <w:r>
        <w:t>'s distinction between formulating general policy (where the content of fairness may be minimal) and applying power to an individual: the decision under challenge is the paradigm individual application, where the presumption operates with full force.</w:t>
      </w:r>
    </w:p>
    <w:p w14:paraId="7AF99B1D">
      <w:pPr>
        <w:jc w:val="both"/>
      </w:pPr>
      <w:r>
        <w:t xml:space="preserve">The content of fairness owed is, moreover, higher in respect of the </w:t>
      </w:r>
      <w:r>
        <w:rPr>
          <w:b/>
        </w:rPr>
        <w:t>cancellation</w:t>
      </w:r>
      <w:r>
        <w:t xml:space="preserve"> than the renewal: cancellation under s 35 extinguishes an existing right (Ms Anand's approval, continued in force by reg 15), and the deprivation of an existing entitlement attracts a fuller hearing than the refusal of a fresh grant (</w:t>
      </w:r>
      <w:r>
        <w:rPr>
          <w:b/>
        </w:rPr>
        <w:t>Kioa</w:t>
      </w:r>
      <w:r>
        <w:t>).</w:t>
      </w:r>
    </w:p>
    <w:p w14:paraId="0202B008">
      <w:pPr>
        <w:spacing w:before="80" w:after="40"/>
      </w:pPr>
      <w:r>
        <w:rPr>
          <w:b/>
          <w:i/>
          <w:color w:val="595959"/>
        </w:rPr>
        <w:t>Conclusion</w:t>
      </w:r>
    </w:p>
    <w:p w14:paraId="254AA69E">
      <w:pPr>
        <w:jc w:val="both"/>
      </w:pPr>
      <w:r>
        <w:t>Strong hearing-rule breach in the use of undisclosed, adverse and untrue allegations; the breach is the more serious as regards the cancellation of her existing approval.</w:t>
      </w:r>
    </w:p>
    <w:p w14:paraId="461EA6EF">
      <w:pPr>
        <w:spacing w:before="200" w:after="60"/>
      </w:pPr>
      <w:r>
        <w:rPr>
          <w:b/>
          <w:color w:val="1F4E79"/>
          <w:sz w:val="23"/>
        </w:rPr>
        <w:t>4.7 Procedural Fairness — Bias</w:t>
      </w:r>
    </w:p>
    <w:p w14:paraId="234A2227">
      <w:pPr>
        <w:spacing w:before="80" w:after="40"/>
      </w:pPr>
      <w:r>
        <w:rPr>
          <w:b/>
          <w:i/>
          <w:color w:val="595959"/>
        </w:rPr>
        <w:t>Issue</w:t>
      </w:r>
    </w:p>
    <w:p w14:paraId="64559411">
      <w:pPr>
        <w:jc w:val="both"/>
      </w:pPr>
      <w:r>
        <w:t>Whether the decision is vitiated by actual bias or a reasonable apprehension of bias.</w:t>
      </w:r>
    </w:p>
    <w:p w14:paraId="5407C036">
      <w:pPr>
        <w:spacing w:before="80" w:after="40"/>
      </w:pPr>
      <w:r>
        <w:rPr>
          <w:b/>
          <w:i/>
          <w:color w:val="595959"/>
        </w:rPr>
        <w:t>Rule (ratio)</w:t>
      </w:r>
    </w:p>
    <w:p w14:paraId="1F3248AB">
      <w:pPr>
        <w:jc w:val="both"/>
        <w:rPr>
          <w:rFonts w:hint="default"/>
          <w:lang w:val="en-AU"/>
        </w:rPr>
      </w:pPr>
      <w:r>
        <w:rPr>
          <w:b/>
        </w:rPr>
        <w:t>Actual bias</w:t>
      </w:r>
      <w:r>
        <w:t xml:space="preserve"> requires a mind so committed to a conclusion as to be incapable of alteration whatever the evidence or argument (</w:t>
      </w:r>
      <w:r>
        <w:rPr>
          <w:b/>
        </w:rPr>
        <w:t>Minister for Immigration and Multicultural Affairs v Jia Legeng (2001) 205 CLR 507</w:t>
      </w:r>
      <w:r>
        <w:t xml:space="preserve"> (‘Jia Legeng’)); it requires proof of the decision-maker's subjective state of mind. </w:t>
      </w:r>
      <w:r>
        <w:rPr>
          <w:rFonts w:hint="default"/>
          <w:lang w:val="en-AU"/>
        </w:rPr>
        <w:t xml:space="preserve">Natural justice does not require the absence of any predisposition or inclination. </w:t>
      </w:r>
    </w:p>
    <w:p w14:paraId="0EC165B7">
      <w:pPr>
        <w:jc w:val="both"/>
        <w:rPr>
          <w:rFonts w:hint="default"/>
          <w:lang w:val="en-AU"/>
        </w:rPr>
      </w:pPr>
      <w:r>
        <w:rPr>
          <w:b/>
        </w:rPr>
        <w:t>Apprehended bias</w:t>
      </w:r>
      <w:r>
        <w:t xml:space="preserve">: a decision-maker is disqualified if a </w:t>
      </w:r>
      <w:r>
        <w:rPr>
          <w:b/>
        </w:rPr>
        <w:t>fair-minded lay observer might reasonably apprehend that the decision-maker might not bring an impartial mind</w:t>
      </w:r>
      <w:r>
        <w:t xml:space="preserve"> to the decision (</w:t>
      </w:r>
      <w:r>
        <w:rPr>
          <w:b/>
        </w:rPr>
        <w:t>Ebner v Official Trustee in Bankruptcy (2000) 205 CLR 337</w:t>
      </w:r>
      <w:r>
        <w:t>); the test is a real (not remote) possibility, applied with adaptation outside the courts, and requires (1) identification of what might lead to a deviation from deciding on the merits, and (2) articulation of the logical connection between that matter and the feared deviation.</w:t>
      </w:r>
      <w:r>
        <w:rPr>
          <w:rFonts w:hint="default"/>
          <w:lang w:val="en-AU"/>
        </w:rPr>
        <w:t xml:space="preserve"> No actual fault needs to be shown (Hot Holding, Gleeson CJ). </w:t>
      </w:r>
    </w:p>
    <w:p w14:paraId="1A65A67E">
      <w:pPr>
        <w:spacing w:before="80" w:after="40"/>
      </w:pPr>
      <w:r>
        <w:rPr>
          <w:b/>
          <w:i/>
          <w:color w:val="595959"/>
        </w:rPr>
        <w:t>Application</w:t>
      </w:r>
    </w:p>
    <w:p w14:paraId="75419272">
      <w:pPr>
        <w:jc w:val="both"/>
      </w:pPr>
      <w:r>
        <w:rPr>
          <w:b/>
        </w:rPr>
        <w:t>Actual bias</w:t>
      </w:r>
      <w:r>
        <w:t xml:space="preserve"> is well supported: Mr Boyle's public PawPrint statement (November 2025) that "the Lotus Cattery operator... should never be allowed to breed animals", made months before deciding, evidences a mind already committed; coupled with his file note that he "would do as the Councillor required", there is a strong case of prejudgment. Actual bias is, however, always hard to prove, so the safer formulation is </w:t>
      </w:r>
      <w:r>
        <w:rPr>
          <w:b/>
        </w:rPr>
        <w:t>apprehended bias</w:t>
      </w:r>
      <w:r>
        <w:t xml:space="preserve">, which is compelling here: (a) Mr Boyle's </w:t>
      </w:r>
      <w:r>
        <w:rPr>
          <w:b/>
        </w:rPr>
        <w:t>sister</w:t>
      </w:r>
      <w:r>
        <w:t xml:space="preserve"> runs a competing cattery that stands to gain commercially from Lotus Cattery's closure; (b) Mr Boyle </w:t>
      </w:r>
      <w:r>
        <w:rPr>
          <w:b/>
        </w:rPr>
        <w:t>investigated</w:t>
      </w:r>
      <w:r>
        <w:t xml:space="preserve"> the earlier complaints and then </w:t>
      </w:r>
      <w:r>
        <w:rPr>
          <w:b/>
        </w:rPr>
        <w:t>decided</w:t>
      </w:r>
      <w:r>
        <w:t xml:space="preserve"> the application (an investigator-and-decider concern); and (c) his prior public condemnation. Prejudgment expressed on </w:t>
      </w:r>
      <w:r>
        <w:rPr>
          <w:b/>
        </w:rPr>
        <w:t>social media</w:t>
      </w:r>
      <w:r>
        <w:t xml:space="preserve"> may found apprehended bias (</w:t>
      </w:r>
      <w:r>
        <w:rPr>
          <w:b/>
        </w:rPr>
        <w:t>Hendry v Western Australia [No 3] [2025] FCA 1262</w:t>
      </w:r>
      <w:r>
        <w:t>): Mr Boyle's PawPrint post, naming Lotus Cattery's operator and pre-stating the very conclusion he later reached, is the paradigm. A fair-minded lay observer would readily apprehend that he might not bring an impartial mind, and the logical connection (family/commercial advantage; prior public position) is clear. The Council will respond that a sibling's commercial interest is too remote, that officials are expected to hold and express policy views (</w:t>
      </w:r>
      <w:r>
        <w:rPr>
          <w:b/>
        </w:rPr>
        <w:t>Jia Legeng</w:t>
      </w:r>
      <w:r>
        <w:t xml:space="preserve">), and, faintly, </w:t>
      </w:r>
      <w:r>
        <w:rPr>
          <w:b/>
        </w:rPr>
        <w:t>necessity</w:t>
      </w:r>
      <w:r>
        <w:t xml:space="preserve"> — that in a small administration the only available officer may be one with prior involvement (cf. the qualified tolerance in </w:t>
      </w:r>
      <w:r>
        <w:rPr>
          <w:b/>
        </w:rPr>
        <w:t>Hot Holdings v Creasy</w:t>
      </w:r>
      <w:r>
        <w:t xml:space="preserve"> of departmental officers with peripheral interests participating in advice). Necessity fails on these facts twice over: the statute itself designates the alternative decision-makers (the Council, or its CEO under s 40), so Mr Boyle was never necessary; and </w:t>
      </w:r>
      <w:r>
        <w:rPr>
          <w:i/>
        </w:rPr>
        <w:t>Hot Holdings</w:t>
      </w:r>
      <w:r>
        <w:t xml:space="preserve"> protected peripheral involvement by non-deciders, not a </w:t>
      </w:r>
      <w:r>
        <w:rPr>
          <w:i/>
        </w:rPr>
        <w:t>decider</w:t>
      </w:r>
      <w:r>
        <w:t xml:space="preserve"> with a direct familial commercial interest and a published prejudgment of this very applicant. These answers do not meet the combination present here — a direct family member's competing cattery, a publicly pre-stated conclusion about this very applicant, and the investigator-and-decider overlap — which together comfortably satisfy the real-possibility test. (There is also an internal point: if the delegation ground at 4.5 succeeds, Mr Boyle was never the lawful decision-maker, so the bias attaches to a nullity; the two grounds are best pleaded as alternatives.)</w:t>
      </w:r>
    </w:p>
    <w:p w14:paraId="663A05FD">
      <w:pPr>
        <w:spacing w:before="80" w:after="40"/>
      </w:pPr>
      <w:r>
        <w:rPr>
          <w:b/>
          <w:i/>
          <w:color w:val="595959"/>
        </w:rPr>
        <w:t>Conclusion</w:t>
      </w:r>
    </w:p>
    <w:p w14:paraId="4AA747CF">
      <w:pPr>
        <w:jc w:val="both"/>
      </w:pPr>
      <w:r>
        <w:t>Apprehended bias is a strong, largely knock-out ground (and bias requires no separate materiality inquiry: see 6). Actual bias is arguable but harder.</w:t>
      </w:r>
    </w:p>
    <w:p w14:paraId="74325E9D">
      <w:pPr>
        <w:pBdr>
          <w:top w:val="single" w:color="BF9000" w:sz="4" w:space="6"/>
          <w:left w:val="single" w:color="BF9000" w:sz="24" w:space="6"/>
          <w:bottom w:val="single" w:color="BF9000" w:sz="4" w:space="6"/>
          <w:right w:val="single" w:color="BF9000" w:sz="4" w:space="6"/>
        </w:pBdr>
        <w:shd w:val="clear" w:fill="FFF2CC"/>
        <w:spacing w:before="80" w:after="160"/>
        <w:ind w:left="144" w:right="144"/>
        <w:jc w:val="both"/>
      </w:pPr>
      <w:r>
        <w:rPr>
          <w:b/>
          <w:color w:val="BF9000"/>
        </w:rPr>
        <w:t xml:space="preserve">FOR REVIEW — </w:t>
      </w:r>
      <w:r>
        <w:t xml:space="preserve">The leading on-point authority on apprehended bias of a council officer involved in an animal destruction order is </w:t>
      </w:r>
      <w:r>
        <w:rPr>
          <w:i/>
        </w:rPr>
        <w:t>Isbester v Knox City Council (2015) 255 CLR 135</w:t>
      </w:r>
      <w:r>
        <w:t xml:space="preserve"> (officer who prosecuted the dog owner then sat on the panel ordering destruction). It is directly analogous to Mr Boyle's investigator-and-decider role and to the destruction of Maximus, and should be cited as the lead authority alongside </w:t>
      </w:r>
      <w:r>
        <w:rPr>
          <w:i/>
        </w:rPr>
        <w:t>Ebner</w:t>
      </w:r>
      <w:r>
        <w:t>. It does not appear in the current course materials, so it is flagged here for confirmation before filing.</w:t>
      </w:r>
    </w:p>
    <w:p w14:paraId="1BA900E7">
      <w:pPr>
        <w:spacing w:before="200" w:after="60"/>
      </w:pPr>
      <w:r>
        <w:rPr>
          <w:b/>
          <w:color w:val="1F4E79"/>
          <w:sz w:val="23"/>
        </w:rPr>
        <w:t>4.8 Objective Jurisdictional Fact</w:t>
      </w:r>
    </w:p>
    <w:p w14:paraId="0E580875">
      <w:pPr>
        <w:spacing w:before="80" w:after="40"/>
      </w:pPr>
      <w:r>
        <w:rPr>
          <w:b/>
          <w:i/>
          <w:color w:val="595959"/>
        </w:rPr>
        <w:t>Issue</w:t>
      </w:r>
    </w:p>
    <w:p w14:paraId="11132CCD">
      <w:pPr>
        <w:jc w:val="both"/>
      </w:pPr>
      <w:r>
        <w:t>Whether a criterion conditioning the power, objectively determinable by the Court, was satisfied.</w:t>
      </w:r>
    </w:p>
    <w:p w14:paraId="0F31219A">
      <w:pPr>
        <w:spacing w:before="80" w:after="40"/>
      </w:pPr>
      <w:r>
        <w:rPr>
          <w:b/>
          <w:i/>
          <w:color w:val="595959"/>
        </w:rPr>
        <w:t>Rule (ratio)</w:t>
      </w:r>
    </w:p>
    <w:p w14:paraId="57A19A68">
      <w:pPr>
        <w:jc w:val="both"/>
      </w:pPr>
      <w:r>
        <w:t>A jurisdictional fact is a criterion "satisfaction of which enlivens the power of the decision-maker to exercise a discretion"; whether a criterion answers that description is a question of construction (</w:t>
      </w:r>
      <w:r>
        <w:rPr>
          <w:b/>
        </w:rPr>
        <w:t>City of Enfield v Development Assessment Commission (2000) 199 CLR 135; Plaintiff M70/2011 v Minister for Immigration and Citizenship (2011) 244 CLR 144</w:t>
      </w:r>
      <w:r>
        <w:t xml:space="preserve">); where it is objectively determinable, the </w:t>
      </w:r>
      <w:r>
        <w:rPr>
          <w:b/>
        </w:rPr>
        <w:t>Court</w:t>
      </w:r>
      <w:r>
        <w:t xml:space="preserve"> decides on the evidence whether it exists (plurality, </w:t>
      </w:r>
      <w:r>
        <w:rPr>
          <w:b/>
        </w:rPr>
        <w:t>M70</w:t>
      </w:r>
      <w:r>
        <w:t xml:space="preserve">); where it involves the decision-maker's value judgment, it is harder to treat as an objective jurisdictional fact (French CJ, </w:t>
      </w:r>
      <w:r>
        <w:rPr>
          <w:b/>
        </w:rPr>
        <w:t>M70</w:t>
      </w:r>
      <w:r>
        <w:t>).</w:t>
      </w:r>
    </w:p>
    <w:p w14:paraId="3A4E08C4">
      <w:pPr>
        <w:spacing w:before="80" w:after="40"/>
      </w:pPr>
      <w:r>
        <w:rPr>
          <w:b/>
          <w:i/>
          <w:color w:val="595959"/>
        </w:rPr>
        <w:t>Application</w:t>
      </w:r>
    </w:p>
    <w:p w14:paraId="3D71C7F7">
      <w:pPr>
        <w:jc w:val="both"/>
      </w:pPr>
      <w:r>
        <w:t xml:space="preserve">The argument is that the existence of a "conviction within the previous three years" under s 34(2)(d) is an </w:t>
      </w:r>
      <w:r>
        <w:rPr>
          <w:b/>
        </w:rPr>
        <w:t>objective</w:t>
      </w:r>
      <w:r>
        <w:t xml:space="preserve">, court-determinable fact: there was no such conviction (a 2019 infringement notice under unrelated legislation is neither a conviction, nor within three years, nor under the named Acts), so the condition for refusing on that basis did not exist. The </w:t>
      </w:r>
      <w:r>
        <w:rPr>
          <w:b/>
        </w:rPr>
        <w:t>counter-argument</w:t>
      </w:r>
      <w:r>
        <w:t>, which must be confronted, is that s 34(2) does not condition the power on the objective facts but on the local government being "</w:t>
      </w:r>
      <w:r>
        <w:rPr>
          <w:b/>
        </w:rPr>
        <w:t>satisfied</w:t>
      </w:r>
      <w:r>
        <w:t xml:space="preserve">" that a listed matter applies — which points to a </w:t>
      </w:r>
      <w:r>
        <w:rPr>
          <w:b/>
        </w:rPr>
        <w:t>subjective</w:t>
      </w:r>
      <w:r>
        <w:t xml:space="preserve"> jurisdictional fact (the state of satisfaction), reviewable on the </w:t>
      </w:r>
      <w:r>
        <w:rPr>
          <w:i/>
        </w:rPr>
        <w:t>SZMDS</w:t>
      </w:r>
      <w:r>
        <w:t xml:space="preserve"> standard and as a no-evidence error (4.8a, 4.9), rather than an objective jurisdictional fact determined by the court (cf. </w:t>
      </w:r>
      <w:r>
        <w:rPr>
          <w:b/>
        </w:rPr>
        <w:t>M70</w:t>
      </w:r>
      <w:r>
        <w:t xml:space="preserve">, French CJ: criteria involving the decision-maker's assessment are difficult to treat as objective jurisdictional facts). The better view is that the </w:t>
      </w:r>
      <w:r>
        <w:rPr>
          <w:i/>
        </w:rPr>
        <w:t>primary</w:t>
      </w:r>
      <w:r>
        <w:t xml:space="preserve"> characterisation is subjective satisfaction / no evidence, with the objective-fact analysis available in the alternative because whether a person has been "convicted" of a specified offence within a fixed period is itself an objectively ascertainable matter on which any rational satisfaction must rest. As to the </w:t>
      </w:r>
      <w:r>
        <w:rPr>
          <w:b/>
        </w:rPr>
        <w:t>destruction</w:t>
      </w:r>
      <w:r>
        <w:t xml:space="preserve">, s 31(2) is framed on the operator's "reasonable belief", so it is not a pure objective jurisdictional fact; but the </w:t>
      </w:r>
      <w:r>
        <w:rPr>
          <w:b/>
        </w:rPr>
        <w:t>existence of reasonable grounds</w:t>
      </w:r>
      <w:r>
        <w:t xml:space="preserve"> is objectively assessed, and on the conjunctive "serious injury" limb the operator could not have held the requisite belief because that limb was not alleged.</w:t>
      </w:r>
    </w:p>
    <w:p w14:paraId="3AB43025">
      <w:pPr>
        <w:spacing w:before="80" w:after="40"/>
      </w:pPr>
      <w:r>
        <w:rPr>
          <w:b/>
          <w:i/>
          <w:color w:val="595959"/>
        </w:rPr>
        <w:t>Conclusion</w:t>
      </w:r>
    </w:p>
    <w:p w14:paraId="305D50C9">
      <w:pPr>
        <w:jc w:val="both"/>
      </w:pPr>
      <w:r>
        <w:t>The "conviction" point is best run primarily as a no-evidence error (4.8a) and as an unlawfully-formed satisfaction (4.9), and in the further alternative as an objective jurisdictional fact that did not exist; on either characterisation, refusal on s 34(2)(d) was beyond power. The destruction is best analysed as excess of power (4.1) given the "reasonable belief" standard.</w:t>
      </w:r>
    </w:p>
    <w:p w14:paraId="13DAAD9D">
      <w:pPr>
        <w:spacing w:before="200" w:after="60"/>
      </w:pPr>
      <w:r>
        <w:rPr>
          <w:b/>
          <w:color w:val="1F4E79"/>
          <w:sz w:val="23"/>
        </w:rPr>
        <w:t>4.8a No-Evidence Ground</w:t>
      </w:r>
    </w:p>
    <w:p w14:paraId="22EECB0D">
      <w:pPr>
        <w:pBdr>
          <w:top w:val="single" w:color="BF9000" w:sz="4" w:space="6"/>
          <w:left w:val="single" w:color="BF9000" w:sz="24" w:space="6"/>
          <w:bottom w:val="single" w:color="BF9000" w:sz="4" w:space="6"/>
          <w:right w:val="single" w:color="BF9000" w:sz="4" w:space="6"/>
        </w:pBdr>
        <w:shd w:val="clear" w:fill="FFF2CC"/>
        <w:spacing w:before="80" w:after="160"/>
        <w:ind w:left="144" w:right="144"/>
        <w:jc w:val="both"/>
      </w:pPr>
      <w:r>
        <w:rPr>
          <w:b/>
          <w:color w:val="BF9000"/>
        </w:rPr>
        <w:t xml:space="preserve">FOR REVIEW — </w:t>
      </w:r>
      <w:r>
        <w:t>A discrete "no evidence" ground does not appear in the seminar checklist (the slides cite Bond only for the ADJR meaning of "decision"). The substance of this argument is fully available within the taught categories — the s 34(2) satisfaction was irrational on the SZMDS standard (4.9) and the decision legally unreasonable (4.10) — so this head is included for completeness and should be deployed through those categories if the examiner's checklist is preferred.</w:t>
      </w:r>
    </w:p>
    <w:p w14:paraId="23439D27">
      <w:pPr>
        <w:spacing w:before="80" w:after="40"/>
      </w:pPr>
      <w:r>
        <w:rPr>
          <w:b/>
          <w:i/>
          <w:color w:val="595959"/>
        </w:rPr>
        <w:t>Issue</w:t>
      </w:r>
    </w:p>
    <w:p w14:paraId="10A4531F">
      <w:pPr>
        <w:jc w:val="both"/>
      </w:pPr>
      <w:r>
        <w:t>Whether the Council made critical findings for which there was no probative evidence.</w:t>
      </w:r>
    </w:p>
    <w:p w14:paraId="099B1EF3">
      <w:pPr>
        <w:spacing w:before="80" w:after="40"/>
      </w:pPr>
      <w:r>
        <w:rPr>
          <w:b/>
          <w:i/>
          <w:color w:val="595959"/>
        </w:rPr>
        <w:t>Rule (ratio)</w:t>
      </w:r>
    </w:p>
    <w:p w14:paraId="468EF121">
      <w:pPr>
        <w:jc w:val="both"/>
      </w:pPr>
      <w:r>
        <w:t xml:space="preserve">A decision-maker who makes a finding of fact that is a critical step in the decision, in circumstances where there is </w:t>
      </w:r>
      <w:r>
        <w:rPr>
          <w:b/>
        </w:rPr>
        <w:t>no probative evidence</w:t>
      </w:r>
      <w:r>
        <w:t xml:space="preserve"> to support it, commits a reviewable error (</w:t>
      </w:r>
      <w:r>
        <w:rPr>
          <w:b/>
        </w:rPr>
        <w:t>Australian Broadcasting Tribunal v Bond (1990) 170 CLR 321</w:t>
      </w:r>
      <w:r>
        <w:t>). The error must concern a material finding; it is not enough that the evidence was merely thin or that the applicant disagrees with the weight given.</w:t>
      </w:r>
    </w:p>
    <w:p w14:paraId="0A7291C5">
      <w:pPr>
        <w:spacing w:before="80" w:after="40"/>
      </w:pPr>
      <w:r>
        <w:rPr>
          <w:b/>
          <w:i/>
          <w:color w:val="595959"/>
        </w:rPr>
        <w:t>Application</w:t>
      </w:r>
    </w:p>
    <w:p w14:paraId="76DCBA39">
      <w:pPr>
        <w:jc w:val="both"/>
      </w:pPr>
      <w:r>
        <w:t xml:space="preserve">Two findings rest on no probative evidence. </w:t>
      </w:r>
      <w:r>
        <w:rPr>
          <w:b/>
        </w:rPr>
        <w:t>First</w:t>
      </w:r>
      <w:r>
        <w:t xml:space="preserve">, reason 2 — that Ms Anand "was convicted within the previous three years of an offence against the Animal Welfare Act 2002" — is supported by no evidence at all: her only record is a 2019 infringement notice (not a conviction) under unrelated legislation. </w:t>
      </w:r>
      <w:r>
        <w:rPr>
          <w:b/>
        </w:rPr>
        <w:t>Second</w:t>
      </w:r>
      <w:r>
        <w:t>, the finding (reason 1) that she is "not a fit and proper person" rests solely on untrue, anonymous "PawPrint" allegations of hoarding, which are no probative material, while the only actual evidence (Dr Lim's assessment; the veterinary references) was not read. The Council may answer that "fit and proper" is an evaluative judgment for which some material (the anonymous posts) existed, so the no-evidence ground (which is narrow) is not made out as to reason 1. That answer has force for reason 1 (better run as unreasonableness, 4.10), but it does not save reason 2, for which there is simply no evidence of the asserted conviction.</w:t>
      </w:r>
    </w:p>
    <w:p w14:paraId="089D154F">
      <w:pPr>
        <w:spacing w:before="80" w:after="40"/>
      </w:pPr>
      <w:r>
        <w:rPr>
          <w:b/>
          <w:i/>
          <w:color w:val="595959"/>
        </w:rPr>
        <w:t>Conclusion</w:t>
      </w:r>
    </w:p>
    <w:p w14:paraId="199BD580">
      <w:pPr>
        <w:jc w:val="both"/>
      </w:pPr>
      <w:r>
        <w:t>Reason 2 is a clear no-evidence error (</w:t>
      </w:r>
      <w:r>
        <w:rPr>
          <w:b/>
        </w:rPr>
        <w:t>Bond</w:t>
      </w:r>
      <w:r>
        <w:t>); the "fit and proper" finding is better attacked as unreasonable (4.10) than as strictly no-evidence, though it is arguable in the alternative.</w:t>
      </w:r>
    </w:p>
    <w:p w14:paraId="2AEBC652">
      <w:pPr>
        <w:spacing w:before="200" w:after="60"/>
      </w:pPr>
      <w:r>
        <w:rPr>
          <w:b/>
          <w:color w:val="1F4E79"/>
          <w:sz w:val="23"/>
        </w:rPr>
        <w:t>4.9 Subjective Jurisdictional Fact</w:t>
      </w:r>
    </w:p>
    <w:p w14:paraId="0B3A1C24">
      <w:pPr>
        <w:spacing w:before="80" w:after="40"/>
      </w:pPr>
      <w:r>
        <w:rPr>
          <w:b/>
          <w:i/>
          <w:color w:val="595959"/>
        </w:rPr>
        <w:t>Issue</w:t>
      </w:r>
    </w:p>
    <w:p w14:paraId="1D0FAE74">
      <w:pPr>
        <w:jc w:val="both"/>
      </w:pPr>
      <w:r>
        <w:t>Whether the Council's state of satisfaction was lawfully formed.</w:t>
      </w:r>
    </w:p>
    <w:p w14:paraId="77443070">
      <w:pPr>
        <w:spacing w:before="80" w:after="40"/>
      </w:pPr>
      <w:r>
        <w:rPr>
          <w:b/>
          <w:i/>
          <w:color w:val="595959"/>
        </w:rPr>
        <w:t>Rule (ratio)</w:t>
      </w:r>
    </w:p>
    <w:p w14:paraId="18AFF2D2">
      <w:pPr>
        <w:jc w:val="both"/>
        <w:rPr>
          <w:rFonts w:hint="default"/>
          <w:lang w:val="en-AU"/>
        </w:rPr>
      </w:pPr>
      <w:r>
        <w:t>Where a power is conditioned on the formation of a state of mind, the existence of that state of mind is itself a jurisdictional fact (</w:t>
      </w:r>
      <w:r>
        <w:rPr>
          <w:b/>
        </w:rPr>
        <w:t>French CJ, M70</w:t>
      </w:r>
      <w:r>
        <w:t>); if formed on a misconstruction of the relevant matters it is not the satisfaction the statute requires (</w:t>
      </w:r>
      <w:r>
        <w:rPr>
          <w:b/>
        </w:rPr>
        <w:t>M70</w:t>
      </w:r>
      <w:r>
        <w:t xml:space="preserve">); the satisfaction is reviewable for irrationality, but </w:t>
      </w:r>
      <w:r>
        <w:rPr>
          <w:b/>
        </w:rPr>
        <w:t>Minister for Immigration and Citizenship v SZMDS (2010) 240 CLR 611</w:t>
      </w:r>
      <w:r>
        <w:t xml:space="preserve"> discloses two approaches: Crennan and Bell JJ </w:t>
      </w:r>
      <w:r>
        <w:rPr>
          <w:rFonts w:hint="default"/>
          <w:lang w:val="en-AU"/>
        </w:rPr>
        <w:t xml:space="preserve">(Majority) </w:t>
      </w:r>
      <w:r>
        <w:t xml:space="preserve">asked whether the satisfaction was a conclusion </w:t>
      </w:r>
      <w:r>
        <w:rPr>
          <w:b/>
        </w:rPr>
        <w:t>open on the evidence</w:t>
      </w:r>
      <w:r>
        <w:t xml:space="preserve"> — irrationality is shown only if no logical route led to it — while Gummow A-CJ and Kiefel J</w:t>
      </w:r>
      <w:r>
        <w:rPr>
          <w:rFonts w:hint="default"/>
          <w:lang w:val="en-AU"/>
        </w:rPr>
        <w:t xml:space="preserve"> (Dissenting)</w:t>
      </w:r>
      <w:r>
        <w:t xml:space="preserve"> focused on </w:t>
      </w:r>
      <w:r>
        <w:rPr>
          <w:b/>
        </w:rPr>
        <w:t>illogicality in the process of reasoning</w:t>
      </w:r>
      <w:r>
        <w:rPr>
          <w:rFonts w:hint="default"/>
          <w:lang w:val="en-AU"/>
        </w:rPr>
        <w:t>.</w:t>
      </w:r>
    </w:p>
    <w:p w14:paraId="2E00F282">
      <w:pPr>
        <w:spacing w:before="80" w:after="40"/>
      </w:pPr>
      <w:r>
        <w:rPr>
          <w:b/>
          <w:i/>
          <w:color w:val="595959"/>
        </w:rPr>
        <w:t>Application</w:t>
      </w:r>
    </w:p>
    <w:p w14:paraId="6DE972E6">
      <w:pPr>
        <w:jc w:val="both"/>
      </w:pPr>
      <w:r>
        <w:t xml:space="preserve">Section 34(2) is enlivened only "if the local government </w:t>
      </w:r>
      <w:r>
        <w:rPr>
          <w:b/>
        </w:rPr>
        <w:t>is satisfied</w:t>
      </w:r>
      <w:r>
        <w:t xml:space="preserve">" of a listed ground, and reason 1 records satisfaction that Ms Anand "is not a fit and proper person". That satisfaction was formed without reading the exemplary independent assessment and on the basis of untrue anonymous rumour and legally irrelevant matters; on the </w:t>
      </w:r>
      <w:r>
        <w:rPr>
          <w:b/>
        </w:rPr>
        <w:t>SZMDS</w:t>
      </w:r>
      <w:r>
        <w:t xml:space="preserve"> standard there is a real argument that no rational decision-maker could have been so satisfied on the material, and that the satisfaction rests on a misconstruction of "fit and proper". Ms Anand succeeds on either </w:t>
      </w:r>
      <w:r>
        <w:rPr>
          <w:i/>
        </w:rPr>
        <w:t>SZMDS</w:t>
      </w:r>
      <w:r>
        <w:t xml:space="preserve"> approach: the conclusion was not </w:t>
      </w:r>
      <w:r>
        <w:rPr>
          <w:b/>
        </w:rPr>
        <w:t>open</w:t>
      </w:r>
      <w:r>
        <w:t xml:space="preserve"> (the only probative material — Dr Lim's assessment and the references — pointed uniformly the other way and was unread), and the </w:t>
      </w:r>
      <w:r>
        <w:rPr>
          <w:b/>
        </w:rPr>
        <w:t>process</w:t>
      </w:r>
      <w:r>
        <w:t xml:space="preserve"> was illogical (treating anonymous, uninvestigated and untrue posts as probative of unfitness while declining to read the expert material). That the case satisfies even the stricter, outcome-focused formulation is what lifts this ground above the usual fate of </w:t>
      </w:r>
      <w:r>
        <w:rPr>
          <w:i/>
        </w:rPr>
        <w:t>SZMDS</w:t>
      </w:r>
      <w:r>
        <w:t xml:space="preserve"> arguments. The Council will nonetheless invoke the high threshold and the latitude owed to an evaluative judgment, so the ground is best pleaded together with the no-evidence and consideration grounds rather than alone.</w:t>
      </w:r>
    </w:p>
    <w:p w14:paraId="283934B9">
      <w:pPr>
        <w:spacing w:before="80" w:after="40"/>
      </w:pPr>
      <w:r>
        <w:rPr>
          <w:b/>
          <w:i/>
          <w:color w:val="595959"/>
        </w:rPr>
        <w:t>Conclusion</w:t>
      </w:r>
    </w:p>
    <w:p w14:paraId="4938E870">
      <w:pPr>
        <w:jc w:val="both"/>
      </w:pPr>
      <w:r>
        <w:t xml:space="preserve">Stronger than the usual </w:t>
      </w:r>
      <w:r>
        <w:rPr>
          <w:i/>
        </w:rPr>
        <w:t>SZMDS</w:t>
      </w:r>
      <w:r>
        <w:t xml:space="preserve"> argument, because the satisfaction fails even the stricter outcome-focused formulation; prudently pleaded alongside the no-evidence and consideration grounds.</w:t>
      </w:r>
    </w:p>
    <w:p w14:paraId="6F02BAEF">
      <w:pPr>
        <w:spacing w:before="200" w:after="60"/>
      </w:pPr>
      <w:r>
        <w:rPr>
          <w:b/>
          <w:color w:val="1F4E79"/>
          <w:sz w:val="23"/>
        </w:rPr>
        <w:t>4.10 Unreasonableness</w:t>
      </w:r>
    </w:p>
    <w:p w14:paraId="792C1482">
      <w:pPr>
        <w:spacing w:before="80" w:after="40"/>
      </w:pPr>
      <w:r>
        <w:rPr>
          <w:b/>
          <w:i/>
          <w:color w:val="595959"/>
        </w:rPr>
        <w:t>Issue</w:t>
      </w:r>
    </w:p>
    <w:p w14:paraId="0BFE5225">
      <w:pPr>
        <w:jc w:val="both"/>
      </w:pPr>
      <w:r>
        <w:t>Whether the decision was legally unreasonable.</w:t>
      </w:r>
    </w:p>
    <w:p w14:paraId="2C084250">
      <w:pPr>
        <w:spacing w:before="80" w:after="40"/>
      </w:pPr>
      <w:r>
        <w:rPr>
          <w:b/>
          <w:i/>
          <w:color w:val="595959"/>
        </w:rPr>
        <w:t>Rule (ratio)</w:t>
      </w:r>
    </w:p>
    <w:p w14:paraId="5361DB41">
      <w:pPr>
        <w:jc w:val="both"/>
      </w:pPr>
      <w:r>
        <w:t>The legislature is taken to intend that a statutory discretion will be exercised reasonably (</w:t>
      </w:r>
      <w:r>
        <w:rPr>
          <w:b/>
        </w:rPr>
        <w:t>Attorney-General (NSW) v Quin (1990) 170 CLR 1; Li; Minister for Immigration and Border Protection v SZVFW (2018) 264 CLR 541</w:t>
      </w:r>
      <w:r>
        <w:t xml:space="preserve">). A decision is legally unreasonable if it lacks an </w:t>
      </w:r>
      <w:r>
        <w:rPr>
          <w:b/>
        </w:rPr>
        <w:t>evident and intelligible justification</w:t>
      </w:r>
      <w:r>
        <w:t xml:space="preserve"> (</w:t>
      </w:r>
      <w:r>
        <w:rPr>
          <w:b/>
        </w:rPr>
        <w:t>Minister for Immigration and Citizenship v Li (2013) 249 CLR 332</w:t>
      </w:r>
      <w:r>
        <w:t>); the test is "necessarily stringent" (</w:t>
      </w:r>
      <w:r>
        <w:rPr>
          <w:b/>
        </w:rPr>
        <w:t>Kiefel CJ, SZVFW</w:t>
      </w:r>
      <w:r>
        <w:t xml:space="preserve">; see also Gageler J in </w:t>
      </w:r>
      <w:r>
        <w:rPr>
          <w:i/>
        </w:rPr>
        <w:t>Li</w:t>
      </w:r>
      <w:r>
        <w:t>), and reasonableness is judged at the time of, and in the particular circumstances of, the exercise of power (</w:t>
      </w:r>
      <w:r>
        <w:rPr>
          <w:b/>
        </w:rPr>
        <w:t>Minister for Home Affairs v DUA16 (2020) 271 CLR 550</w:t>
      </w:r>
      <w:r>
        <w:t>).</w:t>
      </w:r>
    </w:p>
    <w:p w14:paraId="447B6B31">
      <w:pPr>
        <w:spacing w:before="80" w:after="40"/>
      </w:pPr>
      <w:r>
        <w:rPr>
          <w:b/>
          <w:i/>
          <w:color w:val="595959"/>
        </w:rPr>
        <w:t>Application</w:t>
      </w:r>
    </w:p>
    <w:p w14:paraId="571AB82B">
      <w:pPr>
        <w:jc w:val="both"/>
      </w:pPr>
      <w:r>
        <w:t xml:space="preserve">The cumulative features — refusing a fifteen-year, award-winning breeder; ignoring uncontradicted expert evidence of exemplary facilities; preferring untrue anonymous rumour without inquiry; relying on a non-existent conviction and on extraneous policy and political matters — together lack any evident and intelligible justification. The Council's real point is Brennan J's caution in </w:t>
      </w:r>
      <w:r>
        <w:rPr>
          <w:b/>
        </w:rPr>
        <w:t>Attorney-General (NSW) v Quin (1990) 170 CLR 1</w:t>
      </w:r>
      <w:r>
        <w:t xml:space="preserve">: the court's duty extends to declaring and enforcing the limits of power, "and no further" — the merits of who should breed cats in Whitestone are for the Council. But this challenge stays on the </w:t>
      </w:r>
      <w:r>
        <w:rPr>
          <w:b/>
        </w:rPr>
        <w:t>legality</w:t>
      </w:r>
      <w:r>
        <w:t xml:space="preserve"> side of that line: the complaint is not that the Council weighed the material badly, but that it did not engage with the statutorily mandated criteria at all — an </w:t>
      </w:r>
      <w:r>
        <w:rPr>
          <w:i/>
        </w:rPr>
        <w:t>unexplained</w:t>
      </w:r>
      <w:r>
        <w:t xml:space="preserve"> outcome of the kind from which </w:t>
      </w:r>
      <w:r>
        <w:rPr>
          <w:b/>
        </w:rPr>
        <w:t>Li</w:t>
      </w:r>
      <w:r>
        <w:t xml:space="preserve"> permits the inference of unreasonableness. Ms Anand does not ask the Court to find her fit and proper; she asks it to hold that no intelligible path connected the material before the decision-maker to the satisfaction recorded. Unreasonableness is, moreover, powerfully </w:t>
      </w:r>
      <w:r>
        <w:rPr>
          <w:b/>
        </w:rPr>
        <w:t>reinforced</w:t>
      </w:r>
      <w:r>
        <w:t xml:space="preserve"> by the established failures (4.3, 4.4) and, once those are accepted, follows naturally. Like bias, legal unreasonableness calls for no separate materiality inquiry (6).</w:t>
      </w:r>
    </w:p>
    <w:p w14:paraId="0777739B">
      <w:pPr>
        <w:spacing w:before="80" w:after="40"/>
      </w:pPr>
      <w:r>
        <w:rPr>
          <w:b/>
          <w:i/>
          <w:color w:val="595959"/>
        </w:rPr>
        <w:t>Conclusion</w:t>
      </w:r>
    </w:p>
    <w:p w14:paraId="32CC46F8">
      <w:pPr>
        <w:jc w:val="both"/>
      </w:pPr>
      <w:r>
        <w:t>A strong reinforcing ground that follows from the consideration grounds.</w:t>
      </w:r>
    </w:p>
    <w:p w14:paraId="4552E19A">
      <w:pPr>
        <w:spacing w:before="200" w:after="60"/>
      </w:pPr>
      <w:r>
        <w:rPr>
          <w:b/>
          <w:color w:val="1F4E79"/>
          <w:sz w:val="23"/>
        </w:rPr>
        <w:t>4.11 Inflexible Application of Policy / Fettering (and Unlawful Policy)</w:t>
      </w:r>
    </w:p>
    <w:p w14:paraId="1F7CC767">
      <w:pPr>
        <w:spacing w:before="80" w:after="40"/>
      </w:pPr>
      <w:r>
        <w:rPr>
          <w:b/>
          <w:i/>
          <w:color w:val="595959"/>
        </w:rPr>
        <w:t>Issue</w:t>
      </w:r>
    </w:p>
    <w:p w14:paraId="445B011C">
      <w:pPr>
        <w:jc w:val="both"/>
      </w:pPr>
      <w:r>
        <w:t>Whether the Council fettered its discretion by applying a policy as a binding rule.</w:t>
      </w:r>
    </w:p>
    <w:p w14:paraId="23DEC416">
      <w:pPr>
        <w:spacing w:before="80" w:after="40"/>
      </w:pPr>
      <w:r>
        <w:rPr>
          <w:b/>
          <w:i/>
          <w:color w:val="595959"/>
        </w:rPr>
        <w:t>Rule (ratio)</w:t>
      </w:r>
    </w:p>
    <w:p w14:paraId="1888EDFE">
      <w:pPr>
        <w:jc w:val="both"/>
      </w:pPr>
      <w:r>
        <w:t>A policy may guide but must not control the exercise of a statutory discretion; applying it as an inflexible rule that prevents consideration of the individual case is unlawful (</w:t>
      </w:r>
      <w:r>
        <w:rPr>
          <w:b/>
        </w:rPr>
        <w:t>Green v Daniels (1977) 13 ALR 1</w:t>
      </w:r>
      <w:r>
        <w:t>); an appropriate policy "guides but does not control" and must leave the discretion intact (</w:t>
      </w:r>
      <w:r>
        <w:rPr>
          <w:b/>
        </w:rPr>
        <w:t>Re Drake and Minister for Immigration and Ethnic Affairs (No 2) (1979) 2 ALD 634</w:t>
      </w:r>
      <w:r>
        <w:t>); a policy inconsistent with the statute is itself unlawful (</w:t>
      </w:r>
      <w:r>
        <w:rPr>
          <w:b/>
        </w:rPr>
        <w:t>Drake (No 2)</w:t>
      </w:r>
      <w:r>
        <w:t>).</w:t>
      </w:r>
    </w:p>
    <w:p w14:paraId="589ABA27">
      <w:pPr>
        <w:spacing w:before="80" w:after="40"/>
      </w:pPr>
      <w:r>
        <w:rPr>
          <w:b/>
          <w:i/>
          <w:color w:val="595959"/>
        </w:rPr>
        <w:t>Application</w:t>
      </w:r>
    </w:p>
    <w:p w14:paraId="42D139CC">
      <w:pPr>
        <w:jc w:val="both"/>
      </w:pPr>
      <w:r>
        <w:t>Reason 4 states the Council's "</w:t>
      </w:r>
      <w:r>
        <w:rPr>
          <w:b/>
        </w:rPr>
        <w:t>firm position</w:t>
      </w:r>
      <w:r>
        <w:t xml:space="preserve"> that no further breeding approvals will be granted while the district's cat population exceeds target", reflecting the Whitestone Responsible Cat Ownership Policy 2025. Applied as an absolute bar, it prevented genuine consideration of Ms Anand's individual application — the vice in </w:t>
      </w:r>
      <w:r>
        <w:rPr>
          <w:b/>
        </w:rPr>
        <w:t>Green v Daniels</w:t>
      </w:r>
      <w:r>
        <w:t xml:space="preserve">. The policy is also </w:t>
      </w:r>
      <w:r>
        <w:rPr>
          <w:b/>
        </w:rPr>
        <w:t>inconsistent with the Act</w:t>
      </w:r>
      <w:r>
        <w:t>: s 34(2) exhaustively states when an approval "may" be refused, and a blanket no-approval policy keyed to population targets introduces a refusal criterion the Act does not authorise (</w:t>
      </w:r>
      <w:r>
        <w:rPr>
          <w:b/>
        </w:rPr>
        <w:t>Drake (No 2)</w:t>
      </w:r>
      <w:r>
        <w:t>). The Council may argue the policy merely guided it; but "firm position" and the blanket terms indicate control, not guidance.</w:t>
      </w:r>
    </w:p>
    <w:p w14:paraId="112B2663">
      <w:pPr>
        <w:spacing w:before="80" w:after="40"/>
      </w:pPr>
      <w:r>
        <w:rPr>
          <w:b/>
          <w:i/>
          <w:color w:val="595959"/>
        </w:rPr>
        <w:t>Conclusion</w:t>
      </w:r>
    </w:p>
    <w:p w14:paraId="3913868C">
      <w:pPr>
        <w:jc w:val="both"/>
      </w:pPr>
      <w:r>
        <w:t>Strong fettering ground, reinforcing 4.1 and 4.4.</w:t>
      </w:r>
    </w:p>
    <w:p w14:paraId="404EA015">
      <w:pPr>
        <w:spacing w:before="200" w:after="60"/>
      </w:pPr>
      <w:r>
        <w:rPr>
          <w:b/>
          <w:color w:val="1F4E79"/>
          <w:sz w:val="23"/>
        </w:rPr>
        <w:t>4.12 Ultra Vires Delegated Legislation (the Regulations)</w:t>
      </w:r>
    </w:p>
    <w:p w14:paraId="6F51A1F7">
      <w:pPr>
        <w:spacing w:before="80" w:after="40"/>
      </w:pPr>
      <w:r>
        <w:rPr>
          <w:b/>
          <w:i/>
          <w:color w:val="595959"/>
        </w:rPr>
        <w:t>Issue</w:t>
      </w:r>
    </w:p>
    <w:p w14:paraId="32FFB804">
      <w:pPr>
        <w:jc w:val="both"/>
      </w:pPr>
      <w:r>
        <w:t>Whether regulation 12 (and regulation 8) of the Cat Regulations 2025 (Vic) are invalid, and the effect on the decision.</w:t>
      </w:r>
    </w:p>
    <w:p w14:paraId="7A14D75C">
      <w:pPr>
        <w:spacing w:before="80" w:after="40"/>
      </w:pPr>
      <w:r>
        <w:rPr>
          <w:b/>
          <w:i/>
          <w:color w:val="595959"/>
        </w:rPr>
        <w:t>Rule (ratio)</w:t>
      </w:r>
    </w:p>
    <w:p w14:paraId="597A2C6D">
      <w:pPr>
        <w:jc w:val="both"/>
      </w:pPr>
      <w:r>
        <w:t xml:space="preserve">Delegated legislation is valid only if </w:t>
      </w:r>
      <w:r>
        <w:rPr>
          <w:b/>
        </w:rPr>
        <w:t>capable of being reasonably considered appropriate and adapted to achieve the prescribed purpose</w:t>
      </w:r>
      <w:r>
        <w:t xml:space="preserve"> of the empowering Act — a stringent test, satisfied only in an extreme case (</w:t>
      </w:r>
      <w:r>
        <w:rPr>
          <w:b/>
        </w:rPr>
        <w:t>Vanstone v Clark (2005) 147 FCR 299</w:t>
      </w:r>
      <w:r>
        <w:t xml:space="preserve"> (Weinberg J)). Weinberg J's catalogue identifies five bases of invalidity: the regulation (i) deals with a subject outside the scope of the empowering power; (ii) deals with a permissible subject but exceeds the prescribed limits; (iii) is inconsistent with or repugnant to the empowering or another Act; (iv) is made for an impermissible purpose (</w:t>
      </w:r>
      <w:r>
        <w:rPr>
          <w:b/>
        </w:rPr>
        <w:t>R v Toohey; Ex parte Northern Land Council (1981) 151 CLR 170</w:t>
      </w:r>
      <w:r>
        <w:t xml:space="preserve">); or (v) is so unreasonable, or so lacking in reasonable proportionality to the empowering provision, that it falls outside the legislature's contemplation. Two caveats: the full range of judicial review grounds is </w:t>
      </w:r>
      <w:r>
        <w:rPr>
          <w:b/>
        </w:rPr>
        <w:t>not</w:t>
      </w:r>
      <w:r>
        <w:t xml:space="preserve"> available against delegated legislation (it cannot, for example, be impugned solely for failure to consider relevant considerations); and a regulation that expands the operative statutory criteria needs a suitably specific head of power — a general "necessary or convenient" power will not ordinarily suffice (</w:t>
      </w:r>
      <w:r>
        <w:rPr>
          <w:b/>
        </w:rPr>
        <w:t>Vanstone</w:t>
      </w:r>
      <w:r>
        <w:t>). The analysis is two-step: (1) is the regulation invalid; (2) how does that affect the decision (typically as an irrelevant consideration or legal unreasonableness). At the State level, validity is challenged in the Supreme Court's inherent jurisdiction.</w:t>
      </w:r>
    </w:p>
    <w:p w14:paraId="622F1355">
      <w:pPr>
        <w:spacing w:before="80" w:after="40"/>
      </w:pPr>
      <w:r>
        <w:rPr>
          <w:b/>
          <w:i/>
          <w:color w:val="595959"/>
        </w:rPr>
        <w:t>Application</w:t>
      </w:r>
    </w:p>
    <w:p w14:paraId="4C2B324D">
      <w:pPr>
        <w:jc w:val="both"/>
      </w:pPr>
      <w:r>
        <w:rPr>
          <w:b/>
        </w:rPr>
        <w:t>Regulation 12</w:t>
      </w:r>
      <w:r>
        <w:t xml:space="preserve"> prescribes, as a refusal ground, that the applicant has "made public statements critical of the local government's animal-management policies". That bears no rational connection to the Act's objects (s 3: identifying and recording cats; promoting responsible ownership; avoiding cruel confinement). Nor is there a sufficient head of power: s 55(1) is a general "necessary or convenient" power, which on </w:t>
      </w:r>
      <w:r>
        <w:rPr>
          <w:b/>
        </w:rPr>
        <w:t>Vanstone</w:t>
      </w:r>
      <w:r>
        <w:t xml:space="preserve"> cannot support a regulation that expands the substantive criteria for refusing an approval, and s 55(2)(g) ("the regulation of approved cat breeders") regulates the conduct of existing breeders, not the criteria for becoming one. It is neither appropriate nor adapted to those purposes; it is, in substance, a power to punish criticism, which is an improper purpose (</w:t>
      </w:r>
      <w:r>
        <w:rPr>
          <w:b/>
        </w:rPr>
        <w:t>Toohey</w:t>
      </w:r>
      <w:r>
        <w:t>) and is not reasonably proportionate to the empowering provision (</w:t>
      </w:r>
      <w:r>
        <w:rPr>
          <w:b/>
        </w:rPr>
        <w:t>Vanstone</w:t>
      </w:r>
      <w:r>
        <w:t>). It is therefore ultra vires s 55. The Council's best contrary argument is that reg 12 promotes "responsible ownership" (s 3(b)) and falls within the regulation-making power as to "the regulation of approved cat breeders" (s 55(2)(g)); but penalising public criticism of the Council has no rational connection to responsible cat ownership and is not a genuine regulation of breeding, so the argument fails (</w:t>
      </w:r>
      <w:r>
        <w:rPr>
          <w:b/>
        </w:rPr>
        <w:t>Toohey; Vanstone</w:t>
      </w:r>
      <w:r>
        <w:t xml:space="preserve">). </w:t>
      </w:r>
      <w:r>
        <w:rPr>
          <w:b/>
        </w:rPr>
        <w:t>Regulation 8</w:t>
      </w:r>
      <w:r>
        <w:t xml:space="preserve"> (a cap of ten approvals per year) is more defensible as population management, but to the extent it compels refusal of an otherwise qualified applicant on a basis outside the exhaustive s 34(2) grounds, it too is arguably inconsistent with the Act. Regulation 8 also invites a narrower, and forensically more valuable, answer: it caps the number of approvals a council may "</w:t>
      </w:r>
      <w:r>
        <w:rPr>
          <w:b/>
        </w:rPr>
        <w:t>grant</w:t>
      </w:r>
      <w:r>
        <w:t xml:space="preserve">", but the Act consistently distinguishes the </w:t>
      </w:r>
      <w:r>
        <w:rPr>
          <w:b/>
        </w:rPr>
        <w:t>grant</w:t>
      </w:r>
      <w:r>
        <w:t xml:space="preserve"> and the </w:t>
      </w:r>
      <w:r>
        <w:rPr>
          <w:b/>
        </w:rPr>
        <w:t>renewal</w:t>
      </w:r>
      <w:r>
        <w:t xml:space="preserve"> of an approval (ss 33(1), 34(1)(a)–(b)). On its text, reg 8 does not reach renewals at all — so it could never have supported refusing Ms Anand. This construction also hands the respondent its best fallback (reading reg 8 down to new grants, where it is defensible, rather than holding it wholly invalid), and Ms Anand should embrace it: she needs reg 8 </w:t>
      </w:r>
      <w:r>
        <w:rPr>
          <w:i/>
        </w:rPr>
        <w:t>distinguished</w:t>
      </w:r>
      <w:r>
        <w:t xml:space="preserve">, not destroyed. Reg 12, by contrast, cannot be read down or severed — its vice (penalising criticism) infects the whole provision. </w:t>
      </w:r>
      <w:r>
        <w:rPr>
          <w:b/>
        </w:rPr>
        <w:t>Step 2:</w:t>
      </w:r>
      <w:r>
        <w:t xml:space="preserve"> reason 3 rests entirely on reg 12; if reg 12 is invalid, the Council acted on an irrelevant/legally erroneous consideration, reinforcing 4.1a, 4.2 and 4.4.</w:t>
      </w:r>
    </w:p>
    <w:p w14:paraId="279DFF01">
      <w:pPr>
        <w:spacing w:before="80" w:after="40"/>
      </w:pPr>
      <w:r>
        <w:rPr>
          <w:b/>
          <w:i/>
          <w:color w:val="595959"/>
        </w:rPr>
        <w:t>Conclusion</w:t>
      </w:r>
    </w:p>
    <w:p w14:paraId="094F5B95">
      <w:pPr>
        <w:jc w:val="both"/>
      </w:pPr>
      <w:r>
        <w:t>Regulation 12 is very likely ultra vires; its invalidity removes reason 3 and strengthens the error-of-law and improper-purpose grounds. Regulation 8 is more arguable.</w:t>
      </w:r>
    </w:p>
    <w:p w14:paraId="377275DF">
      <w:pPr>
        <w:spacing w:before="200" w:after="60"/>
      </w:pPr>
      <w:r>
        <w:rPr>
          <w:b/>
          <w:color w:val="1F4E79"/>
          <w:sz w:val="23"/>
        </w:rPr>
        <w:t>4.13 Charter of Human Rights and Responsibilities Act 2006 (Vic)</w:t>
      </w:r>
    </w:p>
    <w:p w14:paraId="457F0DC9">
      <w:pPr>
        <w:spacing w:before="80" w:after="40"/>
      </w:pPr>
      <w:r>
        <w:rPr>
          <w:b/>
          <w:i/>
          <w:color w:val="595959"/>
        </w:rPr>
        <w:t>Issue</w:t>
      </w:r>
    </w:p>
    <w:p w14:paraId="332FB085">
      <w:pPr>
        <w:jc w:val="both"/>
      </w:pPr>
      <w:r>
        <w:t>Whether the Council, as a public authority, acted unlawfully under the Charter, providing an additional ground of review.</w:t>
      </w:r>
    </w:p>
    <w:p w14:paraId="51459169">
      <w:pPr>
        <w:spacing w:before="80" w:after="40"/>
      </w:pPr>
      <w:r>
        <w:rPr>
          <w:b/>
          <w:i/>
          <w:color w:val="595959"/>
        </w:rPr>
        <w:t>Rule (ratio)</w:t>
      </w:r>
    </w:p>
    <w:p w14:paraId="663ACFB8">
      <w:pPr>
        <w:jc w:val="both"/>
      </w:pPr>
      <w:r>
        <w:t xml:space="preserve">By </w:t>
      </w:r>
      <w:r>
        <w:rPr>
          <w:b/>
        </w:rPr>
        <w:t>s 38(1)</w:t>
      </w:r>
      <w:r>
        <w:t xml:space="preserve"> of the Charter it is unlawful for a public authority to act in a way incompatible with a human right, or, in making a decision, to </w:t>
      </w:r>
      <w:r>
        <w:rPr>
          <w:b/>
        </w:rPr>
        <w:t>fail to give proper consideration</w:t>
      </w:r>
      <w:r>
        <w:t xml:space="preserve"> to a relevant human right. Section 38(1) has a </w:t>
      </w:r>
      <w:r>
        <w:rPr>
          <w:b/>
        </w:rPr>
        <w:t>procedural</w:t>
      </w:r>
      <w:r>
        <w:t xml:space="preserve"> limb (proper consideration) and a </w:t>
      </w:r>
      <w:r>
        <w:rPr>
          <w:b/>
        </w:rPr>
        <w:t>substantive</w:t>
      </w:r>
      <w:r>
        <w:t xml:space="preserve"> limb (compatibility), which are </w:t>
      </w:r>
      <w:r>
        <w:rPr>
          <w:b/>
        </w:rPr>
        <w:t>cumulative</w:t>
      </w:r>
      <w:r>
        <w:t xml:space="preserve"> (</w:t>
      </w:r>
      <w:r>
        <w:rPr>
          <w:b/>
        </w:rPr>
        <w:t>Bare v Independent Broad-based Anti-corruption Commission (2015) 48 VR 129; Certain Children v Minister for Families and Children (No 2) (2017) 52 VR 441; Thompson v Minogue (2021) 67 VR 301</w:t>
      </w:r>
      <w:r>
        <w:t>). Proper consideration requires the decision-maker to (1) understand in general terms which rights may be affected and how; (2) seriously turn their mind to the possible impact on the person's rights; (3) identify the countervailing interests; and (4) balance the competing interests. 'Proper' consideration sets a standard higher than that generally applicable at common law (</w:t>
      </w:r>
      <w:r>
        <w:rPr>
          <w:b/>
        </w:rPr>
        <w:t>Thompson</w:t>
      </w:r>
      <w:r>
        <w:t xml:space="preserve">; see also </w:t>
      </w:r>
      <w:r>
        <w:rPr>
          <w:b/>
        </w:rPr>
        <w:t>Bare; Certain Children</w:t>
      </w:r>
      <w:r>
        <w:t xml:space="preserve">). Any limit on a right must be </w:t>
      </w:r>
      <w:r>
        <w:rPr>
          <w:b/>
        </w:rPr>
        <w:t>demonstrably justified</w:t>
      </w:r>
      <w:r>
        <w:t xml:space="preserve"> under </w:t>
      </w:r>
      <w:r>
        <w:rPr>
          <w:b/>
        </w:rPr>
        <w:t>s 7(2)(a)–(e)</w:t>
      </w:r>
      <w:r>
        <w:t xml:space="preserve"> (</w:t>
      </w:r>
      <w:r>
        <w:rPr>
          <w:b/>
        </w:rPr>
        <w:t>Certain Children; Thompson</w:t>
      </w:r>
      <w:r>
        <w:t xml:space="preserve">), the Court approaching s 7(2) with a limited degree of deference. There is </w:t>
      </w:r>
      <w:r>
        <w:rPr>
          <w:b/>
        </w:rPr>
        <w:t>no stand-alone Charter cause of action</w:t>
      </w:r>
      <w:r>
        <w:t xml:space="preserve">: by </w:t>
      </w:r>
      <w:r>
        <w:rPr>
          <w:b/>
        </w:rPr>
        <w:t>s 39</w:t>
      </w:r>
      <w:r>
        <w:t xml:space="preserve">, Charter unlawfulness may be relied on only where the applicant already has an independent ground of review (the "piggy-backing" requirement: </w:t>
      </w:r>
      <w:r>
        <w:rPr>
          <w:b/>
        </w:rPr>
        <w:t>Bare</w:t>
      </w:r>
      <w:r>
        <w:t xml:space="preserve">). Breach of s 38(1) does </w:t>
      </w:r>
      <w:r>
        <w:rPr>
          <w:b/>
        </w:rPr>
        <w:t>not of itself</w:t>
      </w:r>
      <w:r>
        <w:t xml:space="preserve"> give rise to invalidity or constitute jurisdictional error (</w:t>
      </w:r>
      <w:r>
        <w:rPr>
          <w:b/>
        </w:rPr>
        <w:t>Certain Children</w:t>
      </w:r>
      <w:r>
        <w:t>).</w:t>
      </w:r>
    </w:p>
    <w:p w14:paraId="280F17ED">
      <w:pPr>
        <w:spacing w:before="80" w:after="40"/>
      </w:pPr>
      <w:r>
        <w:rPr>
          <w:b/>
          <w:i/>
          <w:color w:val="595959"/>
        </w:rPr>
        <w:t>Application</w:t>
      </w:r>
    </w:p>
    <w:p w14:paraId="028129B9">
      <w:pPr>
        <w:jc w:val="both"/>
      </w:pPr>
      <w:r>
        <w:t xml:space="preserve">The Council is a "public authority" (Charter s 4). Relevant rights are engaged: </w:t>
      </w:r>
      <w:r>
        <w:rPr>
          <w:b/>
        </w:rPr>
        <w:t>freedom of expression</w:t>
      </w:r>
      <w:r>
        <w:t xml:space="preserve"> (s 15) — reason 3 and reg 12 penalise Ms Anand precisely for her public criticism; </w:t>
      </w:r>
      <w:r>
        <w:rPr>
          <w:b/>
        </w:rPr>
        <w:t>property</w:t>
      </w:r>
      <w:r>
        <w:t xml:space="preserve"> (s 20) — the seizure of her cats and the threatened destruction of Maximus deprive her of property; and </w:t>
      </w:r>
      <w:r>
        <w:rPr>
          <w:b/>
        </w:rPr>
        <w:t>privacy and reputation</w:t>
      </w:r>
      <w:r>
        <w:t xml:space="preserve"> (s 13) — the "not fit and proper" finding, based on untrue rumour, and the entry to and search of her home. Nothing in the reasons suggests the Council undertook the four-step proper-consideration exercise in respect of any of these rights; the </w:t>
      </w:r>
      <w:r>
        <w:rPr>
          <w:b/>
        </w:rPr>
        <w:t>procedural</w:t>
      </w:r>
      <w:r>
        <w:t xml:space="preserve"> limb is therefore breached. The </w:t>
      </w:r>
      <w:r>
        <w:rPr>
          <w:b/>
        </w:rPr>
        <w:t>substantive</w:t>
      </w:r>
      <w:r>
        <w:t xml:space="preserve"> limb is also engaged, and the s 7(2) factors should be worked through rather than asserted. (a) </w:t>
      </w:r>
      <w:r>
        <w:rPr>
          <w:b/>
        </w:rPr>
        <w:t>Nature of the right</w:t>
      </w:r>
      <w:r>
        <w:t xml:space="preserve">: political expression — criticism of a council's policy at a public meeting and in the press — sits at the core of s 15. (b) </w:t>
      </w:r>
      <w:r>
        <w:rPr>
          <w:b/>
        </w:rPr>
        <w:t>Importance of the purpose</w:t>
      </w:r>
      <w:r>
        <w:t xml:space="preserve">: cat population management is a legitimate, if modest, objective. (c) </w:t>
      </w:r>
      <w:r>
        <w:rPr>
          <w:b/>
        </w:rPr>
        <w:t>Nature and extent of the limitation</w:t>
      </w:r>
      <w:r>
        <w:t xml:space="preserve">: reg 12 does not regulate expression incidentally; it attaches a livelihood-destroying consequence directly and only to the fact of criticism, with a two-year reach-back. (d) </w:t>
      </w:r>
      <w:r>
        <w:rPr>
          <w:b/>
        </w:rPr>
        <w:t>Relationship between limitation and purpose</w:t>
      </w:r>
      <w:r>
        <w:t xml:space="preserve">: none — silencing critics does not reduce the cat population; the rational-connection limb fails outright, which is ordinarily fatal. (e) </w:t>
      </w:r>
      <w:r>
        <w:rPr>
          <w:b/>
        </w:rPr>
        <w:t>Less restrictive means</w:t>
      </w:r>
      <w:r>
        <w:t xml:space="preserve">: the Act already supplies them (facilities, premises, fitness, convictions: s 34(2)(b)–(e)). The limit is not demonstrably justified at the first proportionality step, so the Court need not reach fine balancing. The property limitation (destroying a docile cat without alleging the statutory serious-injury limb) fails for the same threshold reason. The Council may argue (i) that, under s 38(2), it could not reasonably have acted differently or made a different decision because of a statutory provision (reg 12); but that defence fails if reg 12 is itself invalid (4.12), and the obligation to interpret compatibly (s 32) does not assist a regulation that cannot be read down; and (ii) that, per </w:t>
      </w:r>
      <w:r>
        <w:rPr>
          <w:b/>
        </w:rPr>
        <w:t>Certain Children</w:t>
      </w:r>
      <w:r>
        <w:t xml:space="preserve">, breach does not itself amount to jurisdictional error. The Charter ground must therefore </w:t>
      </w:r>
      <w:r>
        <w:rPr>
          <w:b/>
        </w:rPr>
        <w:t>piggy-back</w:t>
      </w:r>
      <w:r>
        <w:t xml:space="preserve"> an established ground of review (s 39) — which is readily available here (4.1–4.12) — and operates as an additional badge of unlawfulness rather than a free-standing path to relief.</w:t>
      </w:r>
    </w:p>
    <w:p w14:paraId="62E5CC8B">
      <w:pPr>
        <w:spacing w:before="80" w:after="40"/>
      </w:pPr>
      <w:r>
        <w:rPr>
          <w:b/>
          <w:i/>
          <w:color w:val="595959"/>
        </w:rPr>
        <w:t>Conclusion</w:t>
      </w:r>
    </w:p>
    <w:p w14:paraId="61D20080">
      <w:pPr>
        <w:jc w:val="both"/>
      </w:pPr>
      <w:r>
        <w:t xml:space="preserve">The Charter adds a real additional ground: the Council failed to give proper consideration to Ms Anand's rights to expression, property and privacy/reputation, and the limits are not demonstrably justified. By s 39 it must be run with an independent ground (of which there are many), and by </w:t>
      </w:r>
      <w:r>
        <w:rPr>
          <w:b/>
        </w:rPr>
        <w:t>Certain Children</w:t>
      </w:r>
      <w:r>
        <w:t xml:space="preserve"> it does not of itself establish jurisdictional error.</w:t>
      </w:r>
    </w:p>
    <w:p w14:paraId="63DA50FB">
      <w:pPr>
        <w:spacing w:before="200" w:after="60"/>
      </w:pPr>
      <w:r>
        <w:rPr>
          <w:b/>
          <w:color w:val="1F4E79"/>
          <w:sz w:val="23"/>
        </w:rPr>
        <w:t>4.14 The Cancellation (s 35) and the Seizure of the Four Cats (s 50)</w:t>
      </w:r>
    </w:p>
    <w:p w14:paraId="297BE14B">
      <w:pPr>
        <w:spacing w:before="80" w:after="40"/>
      </w:pPr>
      <w:r>
        <w:rPr>
          <w:b/>
          <w:i/>
          <w:color w:val="595959"/>
        </w:rPr>
        <w:t>Issue</w:t>
      </w:r>
    </w:p>
    <w:p w14:paraId="1C74D3CF">
      <w:pPr>
        <w:jc w:val="both"/>
      </w:pPr>
      <w:r>
        <w:t>Whether the cancellation and the seizure are independently reviewable and what relief follows.</w:t>
      </w:r>
    </w:p>
    <w:p w14:paraId="43FC58D2">
      <w:pPr>
        <w:spacing w:before="80" w:after="40"/>
      </w:pPr>
      <w:r>
        <w:rPr>
          <w:b/>
          <w:i/>
          <w:color w:val="595959"/>
        </w:rPr>
        <w:t>Rule (ratio)</w:t>
      </w:r>
    </w:p>
    <w:p w14:paraId="052E4237">
      <w:pPr>
        <w:jc w:val="both"/>
      </w:pPr>
      <w:r>
        <w:t xml:space="preserve">Each discrete exercise of statutory power is separately reviewable. Cancellation under s 35 is permitted only "if one or more of the things set out in section 34(2) </w:t>
      </w:r>
      <w:r>
        <w:rPr>
          <w:b/>
        </w:rPr>
        <w:t>applies</w:t>
      </w:r>
      <w:r>
        <w:t>" to the breeder. A warrant to seize under s 50 may issue only where the justice is satisfied of "reasonable grounds for suspecting that the cat is... the subject of an offence... against this Act"; a warrant is the act of a judicial officer and is itself amenable to certiorari/prohibition where issued without jurisdiction.</w:t>
      </w:r>
    </w:p>
    <w:p w14:paraId="7190FBAD">
      <w:pPr>
        <w:spacing w:before="80" w:after="40"/>
      </w:pPr>
      <w:r>
        <w:rPr>
          <w:b/>
          <w:i/>
          <w:color w:val="595959"/>
        </w:rPr>
        <w:t>Application</w:t>
      </w:r>
    </w:p>
    <w:p w14:paraId="62F1CE0D">
      <w:pPr>
        <w:jc w:val="both"/>
      </w:pPr>
      <w:r>
        <w:rPr>
          <w:b/>
        </w:rPr>
        <w:t>Cancellation (s 35).</w:t>
      </w:r>
      <w:r>
        <w:t xml:space="preserve"> The cancellation is vitiated by the same defects as the refusal (unauthorised decision-maker, bias, denial of fairness, no evidence, irrelevant considerations, fettering). Three points are specific to it. First, s 35 is conditioned on whether a s 34(2) matter "applies", which is arguably a more </w:t>
      </w:r>
      <w:r>
        <w:rPr>
          <w:b/>
        </w:rPr>
        <w:t>objective</w:t>
      </w:r>
      <w:r>
        <w:t xml:space="preserve"> standard than the s 34(2) "is satisfied" formula — strengthening the no-evidence and objective-jurisdictional-fact attacks on the cancellation. Second, because cancellation extinguishes an existing approval, the procedural fairness owed was higher (4.6). Third, the </w:t>
      </w:r>
      <w:r>
        <w:rPr>
          <w:b/>
        </w:rPr>
        <w:t>simultaneity</w:t>
      </w:r>
      <w:r>
        <w:t xml:space="preserve"> of the two decisions creates a dilemma for the Council. If the refusal validly </w:t>
      </w:r>
      <w:r>
        <w:rPr>
          <w:i/>
        </w:rPr>
        <w:t>determined</w:t>
      </w:r>
      <w:r>
        <w:t xml:space="preserve"> the renewal application, the reg 15 continuation expired at that instant — leaving nothing for the cancellation to operate on; the cancellation is otiose. If the refusal is invalid, the application remains </w:t>
      </w:r>
      <w:r>
        <w:rPr>
          <w:i/>
        </w:rPr>
        <w:t>undetermined</w:t>
      </w:r>
      <w:r>
        <w:t>, reg 15 keeps the approval in force, and the cancellation falls to be tested under s 35 — where it fails because no s 34(2) matter "applies" (a formulation notably more objective than the "is satisfied" language of s 34(2) itself, inviting full curial determination). On either horn the cancellation does no independent work for the Council, and on the second it supplies the cleanest objective-jurisdictional-fact argument in the case. It remains a distinct, separately reasoned exercise of power with its own (graver) legal consequences, and should be separately quashed.</w:t>
      </w:r>
    </w:p>
    <w:p w14:paraId="1389A42A">
      <w:pPr>
        <w:jc w:val="both"/>
      </w:pPr>
      <w:r>
        <w:rPr>
          <w:b/>
        </w:rPr>
        <w:t>Seizure (s 50 warrant).</w:t>
      </w:r>
      <w:r>
        <w:t xml:space="preserve"> The seizure of the four breeding cats depends on a s 50 warrant, which required reasonable grounds to suspect the cats were "the subject of an offence" against the Act. The only candidate offence is breeding without approval (s 32); but by reg 15 Ms Anand's approval </w:t>
      </w:r>
      <w:r>
        <w:rPr>
          <w:b/>
        </w:rPr>
        <w:t>continued in force</w:t>
      </w:r>
      <w:r>
        <w:t xml:space="preserve"> until her renewal application was lawfully determined, and if the refusal and cancellation are invalid (so that there has been no lawful determination, and no valid cancellation) she </w:t>
      </w:r>
      <w:r>
        <w:rPr>
          <w:b/>
        </w:rPr>
        <w:t>remained an approved breeder</w:t>
      </w:r>
      <w:r>
        <w:t xml:space="preserve">, so no offence was committed and there was no jurisdictional foundation for the warrant. This argument must, however, confront a </w:t>
      </w:r>
      <w:r>
        <w:rPr>
          <w:b/>
        </w:rPr>
        <w:t>temporal objection</w:t>
      </w:r>
      <w:r>
        <w:t xml:space="preserve">. Section 50 conditions the warrant on the </w:t>
      </w:r>
      <w:r>
        <w:rPr>
          <w:i/>
        </w:rPr>
        <w:t>justice's satisfaction</w:t>
      </w:r>
      <w:r>
        <w:t xml:space="preserve"> of "reasonable grounds for suspecting" an offence, assessed on the material before the justice </w:t>
      </w:r>
      <w:r>
        <w:rPr>
          <w:i/>
        </w:rPr>
        <w:t>at the time of issue</w:t>
      </w:r>
      <w:r>
        <w:t xml:space="preserve"> — and on 22 May the cancellation had not been set aside and appeared operative. The Council will say a suspicion can be reasonable even if its factual premise is later falsified. The answer lies in </w:t>
      </w:r>
      <w:r>
        <w:rPr>
          <w:b/>
        </w:rPr>
        <w:t>Bhardwaj</w:t>
      </w:r>
      <w:r>
        <w:t xml:space="preserve">: a decision affected by jurisdictional error is "in law, no decision at all", so the cancellation never had legal effect and Ms Anand was at all times an approved breeder by force of reg 15 — there was never an offence to suspect. But </w:t>
      </w:r>
      <w:r>
        <w:rPr>
          <w:i/>
        </w:rPr>
        <w:t>Bhardwaj</w:t>
      </w:r>
      <w:r>
        <w:t xml:space="preserve"> nullity is not absolute (a purported decision may have practical and even some legal consequences until set aside), and the safer pleading is twofold: first, that the suspicion was not objectively reasonable </w:t>
      </w:r>
      <w:r>
        <w:rPr>
          <w:i/>
        </w:rPr>
        <w:t>even on the material presented</w:t>
      </w:r>
      <w:r>
        <w:t xml:space="preserve"> (the warrant application necessarily rested wholly on the Council's own assertion of cancellation, advanced by the same conflicted officer); and secondly, that whatever the warrant's validity at issue, </w:t>
      </w:r>
      <w:r>
        <w:rPr>
          <w:i/>
        </w:rPr>
        <w:t>no continued impoundment can survive</w:t>
      </w:r>
      <w:r>
        <w:t xml:space="preserve"> once the cancellation is quashed — so the order for the return of the cats does not depend on quashing the warrant at all. That distinction matters for the respondent set: the issuing </w:t>
      </w:r>
      <w:r>
        <w:rPr>
          <w:b/>
        </w:rPr>
        <w:t>justice</w:t>
      </w:r>
      <w:r>
        <w:t xml:space="preserve"> should be named as a respondent to the certiorari claim but would be expected to submit save as to costs (</w:t>
      </w:r>
      <w:r>
        <w:rPr>
          <w:b/>
        </w:rPr>
        <w:t>R v Australian Broadcasting Tribunal; Ex parte Hardiman (1980) 144 CLR 13</w:t>
      </w:r>
      <w:r>
        <w:t xml:space="preserve">), while the return of the four cats is sought against the </w:t>
      </w:r>
      <w:r>
        <w:rPr>
          <w:b/>
        </w:rPr>
        <w:t>Council</w:t>
      </w:r>
      <w:r>
        <w:t xml:space="preserve"> as the facility operator holding them. This is a discrete and important head of relief, distinct from the quia timet protection of Maximus.</w:t>
      </w:r>
    </w:p>
    <w:p w14:paraId="41D7A961">
      <w:pPr>
        <w:spacing w:before="80" w:after="40"/>
      </w:pPr>
      <w:r>
        <w:rPr>
          <w:b/>
          <w:i/>
          <w:color w:val="595959"/>
        </w:rPr>
        <w:t>Conclusion</w:t>
      </w:r>
    </w:p>
    <w:p w14:paraId="4D8104D5">
      <w:pPr>
        <w:jc w:val="both"/>
      </w:pPr>
      <w:r>
        <w:t>The cancellation should be separately quashed (and is, if anything, more vulnerable than the refusal); the s 50 warrant and seizure are challengeable, and relief should include an order for the return of all four seized cats, not merely the protection of Maximus.</w:t>
      </w:r>
    </w:p>
    <w:p w14:paraId="0FABBB3B">
      <w:pPr>
        <w:spacing w:before="200" w:after="60"/>
      </w:pPr>
      <w:r>
        <w:rPr>
          <w:b/>
          <w:color w:val="1F4E79"/>
          <w:sz w:val="23"/>
        </w:rPr>
        <w:t>4.15 Grounds Considered and Not Separately Pursued</w:t>
      </w:r>
    </w:p>
    <w:p w14:paraId="14F81013">
      <w:pPr>
        <w:jc w:val="both"/>
      </w:pPr>
      <w:r>
        <w:t xml:space="preserve">For completeness, three further matters were considered and are not separately pursued. </w:t>
      </w:r>
      <w:r>
        <w:rPr>
          <w:b/>
        </w:rPr>
        <w:t>Bad faith</w:t>
      </w:r>
      <w:r>
        <w:t xml:space="preserve">: although the sister's competing cattery, the PawPrint post and the "would do as the Councillor required" note could support a bad-faith argument, bad faith carries a very high threshold and is rarely necessary where improper purpose (4.2) and bias (4.7) are available; it is not separately run. </w:t>
      </w:r>
      <w:r>
        <w:rPr>
          <w:b/>
        </w:rPr>
        <w:t>Legitimate expectation</w:t>
      </w:r>
      <w:r>
        <w:t>: not pursued — the concept provides no basis for determining whether, or with what content, procedural fairness is owed (</w:t>
      </w:r>
      <w:r>
        <w:rPr>
          <w:b/>
        </w:rPr>
        <w:t>Kiefel, Bell and Keane JJ, WZARH</w:t>
      </w:r>
      <w:r>
        <w:t xml:space="preserve">; see also </w:t>
      </w:r>
      <w:r>
        <w:rPr>
          <w:i/>
        </w:rPr>
        <w:t>Re Minister for Immigration and Multicultural Affairs; Ex parte Lam (2003) 214 CLR 1</w:t>
      </w:r>
      <w:r>
        <w:t xml:space="preserve">), and Ms Anand's procedural entitlements are fully vindicated at 4.6. </w:t>
      </w:r>
      <w:r>
        <w:rPr>
          <w:b/>
        </w:rPr>
        <w:t>Failure to make obvious inquiries</w:t>
      </w:r>
      <w:r>
        <w:t>: the failure to read Dr Lim's assessment, or to check the anonymous allegations, could support a narrow failure-to-inquire argument; it is best run as reinforcing unreasonableness (4.10) rather than as a separate ground.</w:t>
      </w:r>
    </w:p>
    <w:p w14:paraId="398AEF50">
      <w:pPr>
        <w:spacing w:before="240" w:after="80"/>
      </w:pPr>
      <w:r>
        <w:rPr>
          <w:b/>
          <w:color w:val="1F4E79"/>
          <w:sz w:val="27"/>
        </w:rPr>
        <w:t>5. The Strongest Ground — Comparative Assessment</w:t>
      </w:r>
    </w:p>
    <w:p w14:paraId="203C7ADB">
      <w:pPr>
        <w:jc w:val="both"/>
      </w:pPr>
      <w:r>
        <w:t>Before turning to breach and relief, the grounds should be ranked: the choice of lead ground determines what must be proved (in particular, whether materiality must be shown at all), who the necessary respondents are, and what relief follows. The grounds are not of equal strength. Assessing them by the certainty of the breach, resistance to counter-argument, whether they void the whole decision, the materiality burden, and the value of the resulting relief:</w:t>
      </w:r>
    </w:p>
    <w:p w14:paraId="693CC4C8">
      <w:pPr>
        <w:pStyle w:val="23"/>
        <w:jc w:val="both"/>
      </w:pPr>
      <w:r>
        <w:rPr>
          <w:b/>
        </w:rPr>
        <w:t>Unauthorised decision-maker / invalid delegation (4.5)</w:t>
      </w:r>
      <w:r>
        <w:t xml:space="preserve"> is, with bias, the strongest. If Mr Boyle lacked authority under s 40, the decision is a </w:t>
      </w:r>
      <w:r>
        <w:rPr>
          <w:b/>
        </w:rPr>
        <w:t>nullity</w:t>
      </w:r>
      <w:r>
        <w:t xml:space="preserve"> regardless of its merits, and no materiality need be shown. The only real obstacle is the s 42(1) "employees" counter-argument, which is answerable (s 40(1) is the sole, specific delegation power, confined to the CEO, and there is no written instrument to Mr Boyle).</w:t>
      </w:r>
    </w:p>
    <w:p w14:paraId="2AB3E65C">
      <w:pPr>
        <w:pStyle w:val="23"/>
        <w:jc w:val="both"/>
      </w:pPr>
      <w:r>
        <w:rPr>
          <w:b/>
        </w:rPr>
        <w:t>Apprehended bias (4.7)</w:t>
      </w:r>
      <w:r>
        <w:t xml:space="preserve"> is equally powerful: the facts (a competing-cattery sibling; investigator-and-decider; a prior public condemnation) make the fair-minded-observer test easy to satisfy, and bias is jurisdictional </w:t>
      </w:r>
      <w:r>
        <w:rPr>
          <w:b/>
        </w:rPr>
        <w:t>irrespective of materiality</w:t>
      </w:r>
      <w:r>
        <w:t xml:space="preserve"> (LPDT). It voids the entire decision.</w:t>
      </w:r>
    </w:p>
    <w:p w14:paraId="61D56094">
      <w:pPr>
        <w:pStyle w:val="23"/>
        <w:jc w:val="both"/>
      </w:pPr>
      <w:r>
        <w:rPr>
          <w:b/>
        </w:rPr>
        <w:t>Acting without authority / error of law (4.1, 4.1a)</w:t>
      </w:r>
      <w:r>
        <w:t xml:space="preserve"> and the related </w:t>
      </w:r>
      <w:r>
        <w:rPr>
          <w:b/>
        </w:rPr>
        <w:t>no-evidence ground (4.8a)</w:t>
      </w:r>
      <w:r>
        <w:t xml:space="preserve"> are clean and largely incontestable on the face of the reasons (reasons 4–5 outside s 34(2); the non-existent "conviction"; the ultra vires reg 12). The Council will argue that, because s 34(2) requires only "one or more" grounds, a single valid and independently sufficient ground (reason 1) can support the refusal notwithstanding the invalid surplus; that reflects the orthodox severance principle, but it fails here because reason 1 ("fit and proper") is itself vitiated (no evidence, bias, ignored evidence), so no valid ground survives.</w:t>
      </w:r>
    </w:p>
    <w:p w14:paraId="74AD26BD">
      <w:pPr>
        <w:pStyle w:val="23"/>
        <w:jc w:val="both"/>
      </w:pPr>
      <w:r>
        <w:rPr>
          <w:b/>
        </w:rPr>
        <w:t>Failure to consider relevant considerations (4.3)</w:t>
      </w:r>
      <w:r>
        <w:t xml:space="preserve"> and </w:t>
      </w:r>
      <w:r>
        <w:rPr>
          <w:b/>
        </w:rPr>
        <w:t>reliance on irrelevant considerations (4.4)</w:t>
      </w:r>
      <w:r>
        <w:t xml:space="preserve"> are strong and mutually reinforcing, and feed </w:t>
      </w:r>
      <w:r>
        <w:rPr>
          <w:b/>
        </w:rPr>
        <w:t>unreasonableness (4.10)</w:t>
      </w:r>
      <w:r>
        <w:t>.</w:t>
      </w:r>
    </w:p>
    <w:p w14:paraId="77E6605F">
      <w:pPr>
        <w:pStyle w:val="23"/>
        <w:jc w:val="both"/>
      </w:pPr>
      <w:r>
        <w:rPr>
          <w:b/>
        </w:rPr>
        <w:t>Ultra vires delegated legislation (4.12)</w:t>
      </w:r>
      <w:r>
        <w:t xml:space="preserve"> is strong as to reg 12 and decisively removes reason 3.</w:t>
      </w:r>
    </w:p>
    <w:p w14:paraId="39B6168E">
      <w:pPr>
        <w:pStyle w:val="23"/>
        <w:jc w:val="both"/>
      </w:pPr>
      <w:r>
        <w:rPr>
          <w:b/>
        </w:rPr>
        <w:t>Improper purpose (4.2)</w:t>
      </w:r>
      <w:r>
        <w:t xml:space="preserve"> is unusually well-evidenced but remains fact-sensitive; </w:t>
      </w:r>
      <w:r>
        <w:rPr>
          <w:b/>
        </w:rPr>
        <w:t>subjective jurisdictional fact (4.9)</w:t>
      </w:r>
      <w:r>
        <w:t xml:space="preserve"> faces the high </w:t>
      </w:r>
      <w:r>
        <w:rPr>
          <w:i/>
        </w:rPr>
        <w:t>SZMDS</w:t>
      </w:r>
      <w:r>
        <w:t xml:space="preserve"> threshold — though, as argued at 4.9, this case satisfies even the stricter outcome-focused formulation — and is best pleaded alongside the no-evidence and consideration grounds; the </w:t>
      </w:r>
      <w:r>
        <w:rPr>
          <w:b/>
        </w:rPr>
        <w:t>Charter (4.13)</w:t>
      </w:r>
      <w:r>
        <w:t xml:space="preserve"> adds an additional badge of unlawfulness but must piggy-back and does not itself establish jurisdictional error.</w:t>
      </w:r>
    </w:p>
    <w:p w14:paraId="2D4CC7FF">
      <w:pPr>
        <w:jc w:val="both"/>
      </w:pPr>
      <w:r>
        <w:rPr>
          <w:b/>
        </w:rPr>
        <w:t>The ground chosen for the full consequences-of-breach analysis is the unauthorised-decision-maker ground (4.5).</w:t>
      </w:r>
      <w:r>
        <w:t xml:space="preserve"> It is chosen because the breach is established on undisputed documentary facts (there is simply no instrument of delegation to Mr Boyle), it admits of no evaluative reply, and it voids the decision wholesale; apprehended bias (4.7) is maintained as the alternative lead. The two-stage analysis at section 6 is undertaken for that ground, with the others as alternatives.</w:t>
      </w:r>
    </w:p>
    <w:p w14:paraId="2DE8D72D">
      <w:pPr>
        <w:jc w:val="both"/>
      </w:pPr>
      <w:r>
        <w:rPr>
          <w:b/>
        </w:rPr>
        <w:t>Is any one ground sufficient to obtain the relief sought?</w:t>
      </w:r>
      <w:r>
        <w:t xml:space="preserve"> Yes. Either the </w:t>
      </w:r>
      <w:r>
        <w:rPr>
          <w:b/>
        </w:rPr>
        <w:t>unauthorised-decision-maker</w:t>
      </w:r>
      <w:r>
        <w:t xml:space="preserve"> ground or the </w:t>
      </w:r>
      <w:r>
        <w:rPr>
          <w:b/>
        </w:rPr>
        <w:t>apprehended-bias</w:t>
      </w:r>
      <w:r>
        <w:t xml:space="preserve"> ground, if accepted, is independently sufficient to quash the entire decision (and neither requires proof that the outcome would have differed). </w:t>
      </w:r>
      <w:r>
        <w:rPr>
          <w:b/>
        </w:rPr>
        <w:t>Pleading order matters</w:t>
      </w:r>
      <w:r>
        <w:t xml:space="preserve">: the delegation ground should be put first, because if Mr Boyle was never the repository of the power the Court need not enter the contested factual territory of bias and purpose at all — though bias must be maintained in the alternative, since if the delegation argument fails (s 42 "employees") the bias case becomes the lead ground; and conversely, if delegation succeeds, the bias findings would attach to a nullity and the Court may decline to decide them. The first filing should be the </w:t>
      </w:r>
      <w:r>
        <w:rPr>
          <w:b/>
        </w:rPr>
        <w:t>interlocutory injunction application for Maximus</w:t>
      </w:r>
      <w:r>
        <w:t>, supported by the usual undertaking as to damages, with the originating motion to follow within the Order 56 period. The remaining grounds provide robust, mutually reinforcing alternatives and support the consequential relief (the injunction protecting Maximus, the return of the four seized cats, and the declarations). The cancellation (s 35) is, if anything, more vulnerable than the refusal, and the s 50 seizure falls with the cancellation (4.14).</w:t>
      </w:r>
    </w:p>
    <w:p w14:paraId="0F5763FD">
      <w:pPr>
        <w:spacing w:before="240" w:after="80"/>
      </w:pPr>
      <w:r>
        <w:rPr>
          <w:b/>
          <w:color w:val="1F4E79"/>
          <w:sz w:val="27"/>
        </w:rPr>
        <w:t>6. Breach and Consequences of Breach</w:t>
      </w:r>
    </w:p>
    <w:p w14:paraId="0374F7EB">
      <w:pPr>
        <w:spacing w:before="80" w:after="40"/>
      </w:pPr>
      <w:r>
        <w:rPr>
          <w:b/>
          <w:i/>
          <w:color w:val="595959"/>
        </w:rPr>
        <w:t>Issue</w:t>
      </w:r>
    </w:p>
    <w:p w14:paraId="41B947C1">
      <w:pPr>
        <w:jc w:val="both"/>
      </w:pPr>
      <w:r>
        <w:t>Whether the established errors are jurisdictional, so that the decision is invalid.</w:t>
      </w:r>
    </w:p>
    <w:p w14:paraId="0C0F8436">
      <w:pPr>
        <w:spacing w:before="80" w:after="40"/>
      </w:pPr>
      <w:r>
        <w:rPr>
          <w:b/>
          <w:i/>
          <w:color w:val="595959"/>
        </w:rPr>
        <w:t>Rule (ratio)</w:t>
      </w:r>
    </w:p>
    <w:p w14:paraId="6C8A1025">
      <w:pPr>
        <w:jc w:val="both"/>
      </w:pPr>
      <w:r>
        <w:t>Jurisdictional error is "a breach of an express or implied condition of a statutory conferral of decision-making authority which results in a decision made in the purported exercise of that authority lacking the legal force attributed to exercise of that authority by statute" (</w:t>
      </w:r>
      <w:r>
        <w:rPr>
          <w:b/>
        </w:rPr>
        <w:t>LPDT</w:t>
      </w:r>
      <w:r>
        <w:t xml:space="preserve">). Consistently with the approach required for the exam, the full two-stage analysis is undertaken for the </w:t>
      </w:r>
      <w:r>
        <w:rPr>
          <w:b/>
        </w:rPr>
        <w:t>chosen lead ground — the unauthorised decision-maker (4.5)</w:t>
      </w:r>
      <w:r>
        <w:t xml:space="preserve"> — with the remaining grounds as alternatives. </w:t>
      </w:r>
      <w:r>
        <w:rPr>
          <w:b/>
        </w:rPr>
        <w:t>Step 1 (Project Blue Sky Inc v Australian Broadcasting Authority (1998) 194 CLR 355):</w:t>
      </w:r>
      <w:r>
        <w:t xml:space="preserve"> whether it was a purpose of the legislation that an act done in breach of the relevant condition should be invalid. </w:t>
      </w:r>
      <w:r>
        <w:rPr>
          <w:b/>
        </w:rPr>
        <w:t>Step 2 (materiality, LPDT v Minister for Immigration, Citizenship and Multicultural Affairs (2024) 280 CLR 321):</w:t>
      </w:r>
      <w:r>
        <w:t xml:space="preserve"> in most cases an error is jurisdictional only if material, in the sense that there is a </w:t>
      </w:r>
      <w:r>
        <w:rPr>
          <w:b/>
        </w:rPr>
        <w:t>realistic possibility the decision could have been different</w:t>
      </w:r>
      <w:r>
        <w:t xml:space="preserve"> had the error not occurred — a backward-looking inquiry, answered by reference to the decision that was in fact made and how it was made (</w:t>
      </w:r>
      <w:r>
        <w:rPr>
          <w:b/>
        </w:rPr>
        <w:t>LPDT</w:t>
      </w:r>
      <w:r>
        <w:t>) (a low threshold); a threshold of materiality is ordinarily to be implied as a matter of statutory construction, it being unlikely that Parliament intended a decision to be invalidated by an immaterial error (</w:t>
      </w:r>
      <w:r>
        <w:rPr>
          <w:b/>
        </w:rPr>
        <w:t>Hossain v Minister for Immigration and Border Protection (2018) 264 CLR 123</w:t>
      </w:r>
      <w:r>
        <w:t>). The contrary view — that materiality should not be a criterion of jurisdictional error at all, because Parliament cannot be taken to intend that decision-makers need comply with the law only where non-compliance would change the result (</w:t>
      </w:r>
      <w:r>
        <w:rPr>
          <w:b/>
        </w:rPr>
        <w:t>Nettle and Gordon JJ, Minister for Immigration and Border Protection v SZMTA (2019) 264 CLR 421</w:t>
      </w:r>
      <w:r>
        <w:t xml:space="preserve">) — has not prevailed, and </w:t>
      </w:r>
      <w:r>
        <w:rPr>
          <w:b/>
        </w:rPr>
        <w:t>LPDT</w:t>
      </w:r>
      <w:r>
        <w:t xml:space="preserve"> now states the orthodox position. Errors of certain kinds — notably </w:t>
      </w:r>
      <w:r>
        <w:rPr>
          <w:b/>
        </w:rPr>
        <w:t>apprehended or actual bias and legal unreasonableness</w:t>
      </w:r>
      <w:r>
        <w:t>, which deprive the decision of a characteristic the statute requires — do not call for a separate materiality inquiry (</w:t>
      </w:r>
      <w:r>
        <w:rPr>
          <w:b/>
        </w:rPr>
        <w:t>LPDT at [16]–[17]</w:t>
      </w:r>
      <w:r>
        <w:t>). A decision affected by jurisdictional error is "in law, no decision at all" (</w:t>
      </w:r>
      <w:r>
        <w:rPr>
          <w:b/>
        </w:rPr>
        <w:t>Minister for Immigration and Multicultural Affairs v Bhardwaj (2002) 209 CLR 597</w:t>
      </w:r>
      <w:r>
        <w:t>).</w:t>
      </w:r>
    </w:p>
    <w:p w14:paraId="27C1F4DF">
      <w:pPr>
        <w:spacing w:before="80" w:after="40"/>
      </w:pPr>
      <w:r>
        <w:rPr>
          <w:b/>
          <w:i/>
          <w:color w:val="595959"/>
        </w:rPr>
        <w:t>Application</w:t>
      </w:r>
    </w:p>
    <w:p w14:paraId="4797E75B">
      <w:pPr>
        <w:jc w:val="both"/>
      </w:pPr>
      <w:r>
        <w:rPr>
          <w:b/>
        </w:rPr>
        <w:t>Step 1 (lead ground):</w:t>
      </w:r>
      <w:r>
        <w:t xml:space="preserve"> Section 40 is not a provision that merely </w:t>
      </w:r>
      <w:r>
        <w:rPr>
          <w:i/>
        </w:rPr>
        <w:t>regulates the exercise of functions already conferred</w:t>
      </w:r>
      <w:r>
        <w:t xml:space="preserve"> (the feature that saved the provision in </w:t>
      </w:r>
      <w:r>
        <w:rPr>
          <w:b/>
        </w:rPr>
        <w:t>Project Blue Sky</w:t>
      </w:r>
      <w:r>
        <w:t xml:space="preserve">); it is an </w:t>
      </w:r>
      <w:r>
        <w:rPr>
          <w:b/>
        </w:rPr>
        <w:t>essential precondition to the existence of authority</w:t>
      </w:r>
      <w:r>
        <w:t xml:space="preserve"> in anyone other than the Council itself — Parliament identified, exhaustively and formally (writing; absolute majority; a register), the only person to whom the power could be devolved. A purported exercise by anyone else is precisely what the provision exists to prevent, and Parliament must be taken to have intended it to be invalid. The same is true, in the alternative, of s 34(2)'s exhaustive grounds, the implied obligation of procedural fairness, and the rule against bias: each is a condition on the existence of the authority, not a direction as to its manner of exercise, for a decision affecting livelihood, reputation and property. </w:t>
      </w:r>
      <w:r>
        <w:rPr>
          <w:b/>
        </w:rPr>
        <w:t>Step 2 (lead ground):</w:t>
      </w:r>
      <w:r>
        <w:t xml:space="preserve"> the unauthorised-decision-maker ground requires no materiality inquiry — if Mr Boyle lacked power, there is no "decision" whose hypothetical alternative content could be assessed; the same is true of </w:t>
      </w:r>
      <w:r>
        <w:rPr>
          <w:b/>
        </w:rPr>
        <w:t>bias</w:t>
      </w:r>
      <w:r>
        <w:t xml:space="preserve"> and </w:t>
      </w:r>
      <w:r>
        <w:rPr>
          <w:b/>
        </w:rPr>
        <w:t>legal unreasonableness</w:t>
      </w:r>
      <w:r>
        <w:t xml:space="preserve"> (no separate materiality inquiry: LPDT). For the consideration and procedural-fairness grounds, materiality is plainly satisfied: had the Council read Dr Lim's assessment and put the false allegations to Ms Anand, there is a realistic possibility (indeed a likelihood) the decision would have been different. The errors are therefore material where materiality is required.</w:t>
      </w:r>
    </w:p>
    <w:p w14:paraId="02E19186">
      <w:pPr>
        <w:spacing w:before="80" w:after="40"/>
      </w:pPr>
      <w:r>
        <w:rPr>
          <w:b/>
          <w:i/>
          <w:color w:val="595959"/>
        </w:rPr>
        <w:t>Conclusion</w:t>
      </w:r>
    </w:p>
    <w:p w14:paraId="5FB24999">
      <w:pPr>
        <w:jc w:val="both"/>
      </w:pPr>
      <w:r>
        <w:t>The decision is affected by jurisdictional error and is, in law, no decision at all (</w:t>
      </w:r>
      <w:r>
        <w:rPr>
          <w:b/>
        </w:rPr>
        <w:t>Bhardwaj</w:t>
      </w:r>
      <w:r>
        <w:t>); it is void and liable to be quashed.</w:t>
      </w:r>
    </w:p>
    <w:p w14:paraId="064E9B71">
      <w:pPr>
        <w:spacing w:before="240" w:after="80"/>
      </w:pPr>
      <w:r>
        <w:rPr>
          <w:b/>
          <w:color w:val="1F4E79"/>
          <w:sz w:val="27"/>
        </w:rPr>
        <w:t>7. Remedies (Part II) — Likely Availability</w:t>
      </w:r>
    </w:p>
    <w:p w14:paraId="19FFAA80">
      <w:pPr>
        <w:jc w:val="both"/>
      </w:pPr>
      <w:r>
        <w:t>Given the strength of the grounds, the remedies sought are likely to be granted:</w:t>
      </w:r>
    </w:p>
    <w:p w14:paraId="012A03DC">
      <w:pPr>
        <w:pStyle w:val="23"/>
        <w:jc w:val="both"/>
      </w:pPr>
      <w:r>
        <w:rPr>
          <w:b/>
        </w:rPr>
        <w:t>Certiorari</w:t>
      </w:r>
      <w:r>
        <w:t xml:space="preserve"> to quash the 15 May 2026 decision (the decision being void: Bhardwaj).</w:t>
      </w:r>
    </w:p>
    <w:p w14:paraId="32DA43EF">
      <w:pPr>
        <w:pStyle w:val="23"/>
        <w:jc w:val="both"/>
      </w:pPr>
      <w:r>
        <w:rPr>
          <w:b/>
        </w:rPr>
        <w:t>Mandamus</w:t>
      </w:r>
      <w:r>
        <w:t xml:space="preserve"> to compel a lawful redetermination of the renewal application by an authorised, unbiased decision-maker on the relevant considerations. Mandamus issues for actual or constructive failure to perform a public duty — and an unauthorised decision-maker means the Council has constructively failed to determine the application at all. It will compel determination according to law, not a grant: the residual "may" in s 34(2) means even a lawfully constituted decision-maker retains a discretion. But the practical position on redetermination is strong: none of the s 34(2)(a)–(f) grounds is capable of being lawfully made out on the true facts, and where no ground is satisfied the "only if" precondition for </w:t>
      </w:r>
      <w:r>
        <w:rPr>
          <w:i/>
        </w:rPr>
        <w:t>any</w:t>
      </w:r>
      <w:r>
        <w:t xml:space="preserve"> refusal is absent — refusal would simply be unavailable, and renewal must follow. The discretion preserved by "may" is a discretion </w:t>
      </w:r>
      <w:r>
        <w:rPr>
          <w:i/>
        </w:rPr>
        <w:t>not to refuse despite</w:t>
      </w:r>
      <w:r>
        <w:t xml:space="preserve"> satisfaction of a ground; it is not a freestanding discretion to refuse.</w:t>
      </w:r>
    </w:p>
    <w:p w14:paraId="43CE0F12">
      <w:pPr>
        <w:pStyle w:val="23"/>
        <w:jc w:val="both"/>
      </w:pPr>
      <w:r>
        <w:rPr>
          <w:b/>
        </w:rPr>
        <w:t>A prohibitory (interlocutory and final) injunction</w:t>
      </w:r>
      <w:r>
        <w:t xml:space="preserve"> to restrain the destruction of Maximus. Given the </w:t>
      </w:r>
      <w:r>
        <w:rPr>
          <w:b/>
        </w:rPr>
        <w:t>irreversible</w:t>
      </w:r>
      <w:r>
        <w:t xml:space="preserve"> harm (destruction of a living animal that, on the facts, is not "dangerous" within s 31(2)), the balance of convenience strongly favours urgent interlocutory relief; Ms Anand has the necessary legal/proprietary interest (</w:t>
      </w:r>
      <w:r>
        <w:rPr>
          <w:b/>
        </w:rPr>
        <w:t>Bateman's Bay</w:t>
      </w:r>
      <w:r>
        <w:t>).</w:t>
      </w:r>
    </w:p>
    <w:p w14:paraId="43A4BC46">
      <w:pPr>
        <w:pStyle w:val="23"/>
        <w:jc w:val="both"/>
      </w:pPr>
      <w:r>
        <w:rPr>
          <w:b/>
        </w:rPr>
        <w:t>An order for the return of the four seized cats</w:t>
      </w:r>
      <w:r>
        <w:t xml:space="preserve"> and relief against the s 50 warrant: if the cancellation is invalid Ms Anand remained an approved breeder, so the cats were not "the subject of an offence" and there was no foundation for the warrant (4.14).</w:t>
      </w:r>
    </w:p>
    <w:p w14:paraId="2CE165DF">
      <w:pPr>
        <w:pStyle w:val="23"/>
        <w:jc w:val="both"/>
      </w:pPr>
      <w:r>
        <w:rPr>
          <w:b/>
        </w:rPr>
        <w:t>Declarations</w:t>
      </w:r>
      <w:r>
        <w:t xml:space="preserve"> that the decision is invalid and that regulation 12 is ultra vires (</w:t>
      </w:r>
      <w:r>
        <w:rPr>
          <w:b/>
        </w:rPr>
        <w:t>Enfield</w:t>
      </w:r>
      <w:r>
        <w:t>: an actual controversy exists).</w:t>
      </w:r>
    </w:p>
    <w:p w14:paraId="7E0D7BAC">
      <w:pPr>
        <w:jc w:val="both"/>
      </w:pPr>
      <w:r>
        <w:t>The Court</w:t>
      </w:r>
      <w:r>
        <w:rPr>
          <w:rFonts w:hint="default"/>
          <w:lang w:val="en-AU"/>
        </w:rPr>
        <w:t xml:space="preserve"> always has the</w:t>
      </w:r>
      <w:r>
        <w:t xml:space="preserve"> discretion to refuse relief (</w:t>
      </w:r>
      <w:r>
        <w:rPr>
          <w:b/>
        </w:rPr>
        <w:t>Enfield</w:t>
      </w:r>
      <w:r>
        <w:t>)</w:t>
      </w:r>
      <w:r>
        <w:rPr>
          <w:rFonts w:hint="default"/>
          <w:lang w:val="en-AU"/>
        </w:rPr>
        <w:t xml:space="preserve">. </w:t>
      </w:r>
      <w:r>
        <w:t xml:space="preserve">The presumption is that the Court will grant </w:t>
      </w:r>
      <w:r>
        <w:rPr>
          <w:rFonts w:hint="default"/>
          <w:lang w:val="en-AU"/>
        </w:rPr>
        <w:t xml:space="preserve">the </w:t>
      </w:r>
      <w:r>
        <w:t xml:space="preserve">remedies </w:t>
      </w:r>
      <w:r>
        <w:rPr>
          <w:rFonts w:hint="default"/>
          <w:lang w:val="en-AU"/>
        </w:rPr>
        <w:t xml:space="preserve">that </w:t>
      </w:r>
      <w:r>
        <w:t>are available and appropriate (</w:t>
      </w:r>
      <w:r>
        <w:rPr>
          <w:b/>
        </w:rPr>
        <w:t>Enfield</w:t>
      </w:r>
      <w:r>
        <w:t xml:space="preserve">).  </w:t>
      </w:r>
    </w:p>
    <w:p w14:paraId="036102E1">
      <w:pPr>
        <w:spacing w:before="240" w:after="80"/>
      </w:pPr>
      <w:r>
        <w:rPr>
          <w:b/>
          <w:color w:val="1F4E79"/>
          <w:sz w:val="27"/>
        </w:rPr>
        <w:t>8. Overall Conclusion (Question 1)</w:t>
      </w:r>
    </w:p>
    <w:p w14:paraId="5A4928BC">
      <w:pPr>
        <w:jc w:val="both"/>
      </w:pPr>
      <w:r>
        <w:t xml:space="preserve">Ms Anand has </w:t>
      </w:r>
      <w:r>
        <w:rPr>
          <w:b/>
        </w:rPr>
        <w:t>strong prospects of success</w:t>
      </w:r>
      <w:r>
        <w:t>. The decision of 15 May 2026 is affected by multiple jurisdictional errors, of which the unauthorised-decision-maker and apprehended-bias grounds are each independently decisive. The application should be brought in the Supreme Court of Victoria under Order 56 (within the 60-day period), seeking certiorari, mandamus, a prohibitory injunction to protect Maximus, and declarations (including that reg 12 is invalid). Friends of Felines Inc has only an arguable standing, so Ms Anand should be the principal applicant. The Charter provides an additional ground (failure to give proper consideration to her rights to expression, property and privacy/reputation), to be run with the established grounds under s 39.</w:t>
      </w:r>
    </w:p>
    <w:p w14:paraId="7ADA3078">
      <w:r>
        <w:br w:type="page"/>
      </w:r>
    </w:p>
    <w:p w14:paraId="4A3F3F21">
      <w:pPr>
        <w:pBdr>
          <w:bottom w:val="single" w:color="1F4E79" w:sz="8" w:space="4"/>
        </w:pBdr>
        <w:spacing w:before="120" w:after="160"/>
      </w:pPr>
      <w:r>
        <w:rPr>
          <w:b/>
          <w:color w:val="1F4E79"/>
          <w:sz w:val="34"/>
        </w:rPr>
        <w:t>QUESTION 2 — Effect of a Privative Clause (hypothetical s 57)</w:t>
      </w:r>
    </w:p>
    <w:p w14:paraId="590E5BC1">
      <w:pPr>
        <w:spacing w:before="80" w:after="40"/>
      </w:pPr>
      <w:r>
        <w:rPr>
          <w:b/>
          <w:i/>
          <w:color w:val="595959"/>
        </w:rPr>
        <w:t>Issue</w:t>
      </w:r>
    </w:p>
    <w:p w14:paraId="5D67B07D">
      <w:pPr>
        <w:jc w:val="both"/>
      </w:pPr>
      <w:r>
        <w:t>How the analysis would differ if the Act contained s 57, providing that a decision "is final and conclusive, and must not be challenged, appealed against, reviewed, quashed or called into question in any court, and is not subject to prohibition, mandamus, injunction, declaration or certiorari, on any ground."</w:t>
      </w:r>
    </w:p>
    <w:p w14:paraId="23603E4D">
      <w:pPr>
        <w:spacing w:before="80" w:after="40"/>
      </w:pPr>
      <w:r>
        <w:rPr>
          <w:b/>
          <w:i/>
          <w:color w:val="595959"/>
        </w:rPr>
        <w:t>Rule (ratio)</w:t>
      </w:r>
    </w:p>
    <w:p w14:paraId="57110E03">
      <w:pPr>
        <w:jc w:val="both"/>
      </w:pPr>
      <w:bookmarkStart w:id="0" w:name="_GoBack"/>
      <w:bookmarkEnd w:id="0"/>
      <w:r>
        <w:t xml:space="preserve">a State privative clause cannot oust the Supreme Court of Victoria's supervisory jurisdiction to review for </w:t>
      </w:r>
      <w:r>
        <w:rPr>
          <w:b/>
        </w:rPr>
        <w:t>jurisdictional error</w:t>
      </w:r>
      <w:r>
        <w:t xml:space="preserve">: that jurisdiction is a defining characteristic of a State Supreme Court entrenched by Chapter III of the Constitution and </w:t>
      </w:r>
      <w:r>
        <w:rPr>
          <w:b/>
        </w:rPr>
        <w:t>cannot be removed by State legislation</w:t>
      </w:r>
      <w:r>
        <w:t xml:space="preserve"> (</w:t>
      </w:r>
      <w:r>
        <w:rPr>
          <w:b/>
        </w:rPr>
        <w:t>Kirk v Industrial Court (NSW) (2010) 239 CLR 531</w:t>
      </w:r>
      <w:r>
        <w:t xml:space="preserve">; cf. </w:t>
      </w:r>
      <w:r>
        <w:rPr>
          <w:b/>
        </w:rPr>
        <w:t>Plaintiff S157/2002 v Commonwealth (2003) 211 CLR 476</w:t>
      </w:r>
      <w:r>
        <w:t xml:space="preserve">, s 75(v), at the federal level; and </w:t>
      </w:r>
      <w:r>
        <w:rPr>
          <w:b/>
        </w:rPr>
        <w:t>Graham v Minister for Immigration and Border Protection (2017) 263 CLR 1</w:t>
      </w:r>
      <w:r>
        <w:t xml:space="preserve">: Parliament cannot deny a court the ability to enforce the legislated limits of an officer's power). The clause is read down so as not to apply to decisions affected by jurisdictional error. By contrast, a sufficiently clear clause </w:t>
      </w:r>
      <w:r>
        <w:rPr>
          <w:b/>
        </w:rPr>
        <w:t>may</w:t>
      </w:r>
      <w:r>
        <w:t xml:space="preserve"> validly exclude review for </w:t>
      </w:r>
      <w:r>
        <w:rPr>
          <w:b/>
        </w:rPr>
        <w:t>non-jurisdictional error of law on the face of the record</w:t>
      </w:r>
      <w:r>
        <w:t xml:space="preserve"> (</w:t>
      </w:r>
      <w:r>
        <w:rPr>
          <w:b/>
        </w:rPr>
        <w:t>Kirk; Craig v South Australia</w:t>
      </w:r>
      <w:r>
        <w:t xml:space="preserve">). A privative clause is also relevant to </w:t>
      </w:r>
      <w:r>
        <w:rPr>
          <w:b/>
        </w:rPr>
        <w:t>Project Blue Sky Step 1</w:t>
      </w:r>
      <w:r>
        <w:t>, as a statement of Parliament's intention about the consequences of non-compliance.</w:t>
      </w:r>
    </w:p>
    <w:p w14:paraId="4C47D880">
      <w:pPr>
        <w:spacing w:before="80" w:after="40"/>
      </w:pPr>
      <w:r>
        <w:rPr>
          <w:b/>
          <w:i/>
          <w:color w:val="595959"/>
        </w:rPr>
        <w:t>Application</w:t>
      </w:r>
    </w:p>
    <w:p w14:paraId="3DEAE489">
      <w:pPr>
        <w:jc w:val="both"/>
      </w:pPr>
      <w:r>
        <w:t xml:space="preserve">Section 57, however widely drawn, </w:t>
      </w:r>
      <w:r>
        <w:rPr>
          <w:b/>
        </w:rPr>
        <w:t>cannot prevent</w:t>
      </w:r>
      <w:r>
        <w:t xml:space="preserve"> the Supreme Court of Victoria from reviewing the Council's decision for </w:t>
      </w:r>
      <w:r>
        <w:rPr>
          <w:b/>
        </w:rPr>
        <w:t>jurisdictional error</w:t>
      </w:r>
      <w:r>
        <w:t xml:space="preserve">. Critically, the grounds identified in Question 1 are, in the main, </w:t>
      </w:r>
      <w:r>
        <w:rPr>
          <w:b/>
        </w:rPr>
        <w:t>jurisdictional</w:t>
      </w:r>
      <w:r>
        <w:t xml:space="preserve">: an unauthorised decision-maker (s 40), apprehended bias, denial of procedural fairness, acting without authority/excess of power, failure to consider mandatory considerations, and legal unreasonableness are all classic jurisdictional errors. As a threshold point, the decision arguably fails even the first </w:t>
      </w:r>
      <w:r>
        <w:rPr>
          <w:b/>
        </w:rPr>
        <w:t>Hickman</w:t>
      </w:r>
      <w:r>
        <w:t xml:space="preserve"> proviso: a decision made by an unauthorised officer, under dictation, infected by apprehended bias and substantially actuated by the purpose of punishing criticism is not a "bona fide attempt" to exercise the s 34 power, so s 57's protection is never engaged. Beyond that, the construction technique is textual, not merely doctrinal: s 57 protects "a decision of a local government </w:t>
      </w:r>
      <w:r>
        <w:rPr>
          <w:b/>
        </w:rPr>
        <w:t>under this Act</w:t>
      </w:r>
      <w:r>
        <w:t>". A purported decision affected by jurisdictional error is not a decision "under this Act" at all — it is made outside the authority the Act confers — so it falls outside the clause's own description of what it protects (</w:t>
      </w:r>
      <w:r>
        <w:rPr>
          <w:b/>
        </w:rPr>
        <w:t>Plaintiff S157; Kirk</w:t>
      </w:r>
      <w:r>
        <w:t>); such a decision is "in law, no decision at all" (</w:t>
      </w:r>
      <w:r>
        <w:rPr>
          <w:b/>
        </w:rPr>
        <w:t>Bhardwaj</w:t>
      </w:r>
      <w:r>
        <w:t xml:space="preserve">). The clause and the grounds of review are reconciled, not collided. Two further textual points sharpen the position: s 57 speaks only of decisions </w:t>
      </w:r>
      <w:r>
        <w:rPr>
          <w:i/>
        </w:rPr>
        <w:t>of a local government</w:t>
      </w:r>
      <w:r>
        <w:t xml:space="preserve">, so it does not touch the challenge to </w:t>
      </w:r>
      <w:r>
        <w:rPr>
          <w:b/>
        </w:rPr>
        <w:t>reg 12</w:t>
      </w:r>
      <w:r>
        <w:t xml:space="preserve">, which is an instrument of the </w:t>
      </w:r>
      <w:r>
        <w:rPr>
          <w:b/>
        </w:rPr>
        <w:t>Governor</w:t>
      </w:r>
      <w:r>
        <w:t xml:space="preserve"> — the declaration of the regulation's invalidity proceeds wholly unaffected; and the </w:t>
      </w:r>
      <w:r>
        <w:rPr>
          <w:b/>
        </w:rPr>
        <w:t>warrant</w:t>
      </w:r>
      <w:r>
        <w:t xml:space="preserve"> is a decision of a </w:t>
      </w:r>
      <w:r>
        <w:rPr>
          <w:i/>
        </w:rPr>
        <w:t>justice</w:t>
      </w:r>
      <w:r>
        <w:t xml:space="preserve">, not of a local government, so the certiorari claim against the warrant is likewise untouched. Section 57 therefore does </w:t>
      </w:r>
      <w:r>
        <w:rPr>
          <w:b/>
        </w:rPr>
        <w:t>not</w:t>
      </w:r>
      <w:r>
        <w:t xml:space="preserve"> save the decision against the principal grounds, and certiorari, mandamus, prohibition, injunction and declaration remain available in the Court's inherent jurisdiction. There is also a distinctively Victorian obstacle the Council must overcome before </w:t>
      </w:r>
      <w:r>
        <w:rPr>
          <w:b/>
        </w:rPr>
        <w:t>Kirk</w:t>
      </w:r>
      <w:r>
        <w:t xml:space="preserve"> is even reached: </w:t>
      </w:r>
      <w:r>
        <w:rPr>
          <w:b/>
        </w:rPr>
        <w:t>s 85(5) of the Constitution Act 1975 (Vic)</w:t>
      </w:r>
      <w:r>
        <w:t xml:space="preserve"> provides that a provision repealing, altering or varying the Supreme Court's jurisdiction is of no effect unless the Act states that intention expressly and the prescribed parliamentary statements are made. Nothing suggests s 57 was enacted in compliance with that manner-and-form requirement, so it may be wholly inoperative as a matter of Victorian constitutional law without any need to read it down.</w:t>
      </w:r>
    </w:p>
    <w:p w14:paraId="3C87AD6C">
      <w:pPr>
        <w:jc w:val="both"/>
      </w:pPr>
      <w:r>
        <w:t xml:space="preserve">The clause would have two narrower effects. </w:t>
      </w:r>
      <w:r>
        <w:rPr>
          <w:b/>
        </w:rPr>
        <w:t>First</w:t>
      </w:r>
      <w:r>
        <w:t xml:space="preserve">, to the extent any error is characterised as a </w:t>
      </w:r>
      <w:r>
        <w:rPr>
          <w:b/>
        </w:rPr>
        <w:t>non-jurisdictional error of law</w:t>
      </w:r>
      <w:r>
        <w:t xml:space="preserve">, review survives only if the error appears on the </w:t>
      </w:r>
      <w:r>
        <w:rPr>
          <w:i/>
        </w:rPr>
        <w:t>face of the record</w:t>
      </w:r>
      <w:r>
        <w:t xml:space="preserve"> — and here the applicant is doubly constrained. At common law the record does not include the reasons unless incorporated (</w:t>
      </w:r>
      <w:r>
        <w:rPr>
          <w:b/>
        </w:rPr>
        <w:t>Craig</w:t>
      </w:r>
      <w:r>
        <w:t xml:space="preserve">); the statutory cure, </w:t>
      </w:r>
      <w:r>
        <w:rPr>
          <w:b/>
        </w:rPr>
        <w:t>ALA s 10</w:t>
      </w:r>
      <w:r>
        <w:t xml:space="preserve"> (deeming reasons part of the record), is unavailable because the ALA's 30-day period has expired — and s 57 would in any event present a separate question whether the ALA route survives a privative clause at all. The s 37 notice arguably </w:t>
      </w:r>
      <w:r>
        <w:rPr>
          <w:i/>
        </w:rPr>
        <w:t>is</w:t>
      </w:r>
      <w:r>
        <w:t xml:space="preserve"> incorporated in the record as the instrument recording the decision, but the prudent course is the one already taken: frame every error-of-law argument as </w:t>
      </w:r>
      <w:r>
        <w:rPr>
          <w:b/>
        </w:rPr>
        <w:t>jurisdictional</w:t>
      </w:r>
      <w:r>
        <w:t xml:space="preserve"> (misconstruction of the s 34(2)(d) and (e) preconditions goes to the limits of the power: </w:t>
      </w:r>
      <w:r>
        <w:rPr>
          <w:b/>
        </w:rPr>
        <w:t>Craig; Kirk</w:t>
      </w:r>
      <w:r>
        <w:t xml:space="preserve">), so that nothing turns on the record. </w:t>
      </w:r>
      <w:r>
        <w:rPr>
          <w:b/>
        </w:rPr>
        <w:t>Second</w:t>
      </w:r>
      <w:r>
        <w:t xml:space="preserve">, at </w:t>
      </w:r>
      <w:r>
        <w:rPr>
          <w:b/>
        </w:rPr>
        <w:t>Project Blue Sky Step 1</w:t>
      </w:r>
      <w:r>
        <w:t xml:space="preserve">, the Council would invoke s 57 as evidence that Parliament did not intend non-compliance to invalidate; but </w:t>
      </w:r>
      <w:r>
        <w:rPr>
          <w:b/>
        </w:rPr>
        <w:t>Kirk</w:t>
      </w:r>
      <w:r>
        <w:t xml:space="preserve"> confines that argument to non-jurisdictional matters, and cannot convert a jurisdictional error into a permissible one. The Charter analysis is unaffected (s 57 does not touch the Court's supervisory jurisdiction, and Charter unlawfulness is in any event raised via s 39 alongside the surviving grounds).</w:t>
      </w:r>
    </w:p>
    <w:p w14:paraId="1742FB3B">
      <w:pPr>
        <w:spacing w:before="80" w:after="40"/>
      </w:pPr>
      <w:r>
        <w:rPr>
          <w:b/>
          <w:i/>
          <w:color w:val="595959"/>
        </w:rPr>
        <w:t>Conclusion</w:t>
      </w:r>
    </w:p>
    <w:p w14:paraId="63C87B29">
      <w:pPr>
        <w:jc w:val="both"/>
      </w:pPr>
      <w:r>
        <w:t>Section 57 would not materially change the advice. The Supreme Court of Victoria's supervisory jurisdiction over jurisdictional error cannot be ousted (</w:t>
      </w:r>
      <w:r>
        <w:rPr>
          <w:b/>
        </w:rPr>
        <w:t>Kirk</w:t>
      </w:r>
      <w:r>
        <w:t>; s 85 Constitution Act 1975 (Vic)), and the principal grounds are jurisdictional. At most, s 57 would bar review of any purely non-jurisdictional error of law on the record — which is a reason to plead the error-of-law points as jurisdictional. The remedies (including the injunction protecting Maximus and the declaration of reg 12's invalidity) remain available.</w:t>
      </w:r>
    </w:p>
    <w:p w14:paraId="730E43AC">
      <w:pPr>
        <w:jc w:val="both"/>
      </w:pPr>
      <w:r>
        <w:t>— End of Memorandum —</w:t>
      </w:r>
    </w:p>
    <w:p w14:paraId="2631402F">
      <w:r>
        <w:br w:type="page"/>
      </w:r>
    </w:p>
    <w:p w14:paraId="183A8905">
      <w:pPr>
        <w:spacing w:before="240"/>
      </w:pPr>
      <w:r>
        <w:rPr>
          <w:b/>
          <w:color w:val="1F4E79"/>
          <w:sz w:val="27"/>
        </w:rPr>
        <w:t>E. Matters Flagged for Your Review</w:t>
      </w:r>
    </w:p>
    <w:p w14:paraId="455F961C">
      <w:pPr>
        <w:pStyle w:val="23"/>
      </w:pPr>
      <w:r>
        <w:rPr>
          <w:b/>
        </w:rPr>
        <w:t>Isbester v Knox City Council (2015) 255 CLR 135</w:t>
      </w:r>
      <w:r>
        <w:t xml:space="preserve"> is the leading apprehended-bias authority directly on point (a council officer who investigated and then decided an animal-destruction matter). It is </w:t>
      </w:r>
      <w:r>
        <w:rPr>
          <w:b/>
        </w:rPr>
        <w:t>not in the supplied course materials</w:t>
      </w:r>
      <w:r>
        <w:t>, so it is flagged 'FOR REVIEW' in the answer (ground 4.7) and should be confirmed before use; the answer's bias analysis stands on Ebner and Jia Legeng regardless.</w:t>
      </w:r>
    </w:p>
    <w:p w14:paraId="78C08156">
      <w:pPr>
        <w:pStyle w:val="23"/>
      </w:pPr>
      <w:r>
        <w:t>A handful of other authorities relied on for completeness (for example Pattenden; Samrein; Carltona; Re McBain) should be confirmed as within your course list; the core analysis rests on the listed cases.</w:t>
      </w:r>
    </w:p>
    <w:p w14:paraId="7CCC821B">
      <w:pPr>
        <w:pStyle w:val="23"/>
      </w:pPr>
      <w:r>
        <w:t xml:space="preserve">The hypothetical is a </w:t>
      </w:r>
      <w:r>
        <w:rPr>
          <w:b/>
        </w:rPr>
        <w:t>practice instrument</w:t>
      </w:r>
      <w:r>
        <w:t xml:space="preserve"> authored for this exercise; it is not a past exam paper.</w:t>
      </w:r>
    </w:p>
    <w:p w14:paraId="43BE6914">
      <w:pPr>
        <w:spacing w:before="240"/>
      </w:pPr>
      <w:r>
        <w:rPr>
          <w:b/>
          <w:color w:val="1F4E79"/>
          <w:sz w:val="27"/>
        </w:rPr>
        <w:t>F. Structural Note (this version)</w:t>
      </w:r>
    </w:p>
    <w:p w14:paraId="08BAE76C">
      <w:pPr>
        <w:jc w:val="both"/>
      </w:pPr>
      <w:r>
        <w:t xml:space="preserve">At the principal's direction, the </w:t>
      </w:r>
      <w:r>
        <w:rPr>
          <w:b/>
        </w:rPr>
        <w:t>Strongest Ground — Comparative Assessment</w:t>
      </w:r>
      <w:r>
        <w:t xml:space="preserve"> has been moved front and centre as section 5, immediately after the grounds and </w:t>
      </w:r>
      <w:r>
        <w:rPr>
          <w:b/>
        </w:rPr>
        <w:t>before</w:t>
      </w:r>
      <w:r>
        <w:t xml:space="preserve"> the breach-and-consequences analysis, because the choice of lead ground drives what must be proved (including whether materiality is required at all), the respondent set, and the relief. All cross-references were renumbered and re-verified. The exam time guide (9:00am start, strongest ground at 1.5x) now appears on the first page of this document.</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DCD79">
    <w:pPr>
      <w:pStyle w:val="18"/>
      <w:jc w:val="center"/>
    </w:pPr>
    <w:r>
      <w:rPr>
        <w:color w:val="595959"/>
        <w:sz w:val="16"/>
      </w:rPr>
      <w:t xml:space="preserve">Page </w:t>
    </w:r>
    <w:r>
      <w:rPr>
        <w:color w:val="595959"/>
        <w:sz w:val="16"/>
      </w:rPr>
      <w:fldChar w:fldCharType="begin"/>
    </w:r>
    <w:r>
      <w:rPr>
        <w:color w:val="595959"/>
        <w:sz w:val="16"/>
      </w:rPr>
      <w:instrText xml:space="preserve">PAGE</w:instrTex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2F3F0">
    <w:pPr>
      <w:pStyle w:val="19"/>
      <w:jc w:val="right"/>
    </w:pPr>
    <w:r>
      <w:rPr>
        <w:i/>
        <w:color w:val="595959"/>
        <w:sz w:val="16"/>
      </w:rPr>
      <w:t>Privileged &amp; Confidential — Cat Act 2005 (Vic) Judicial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F62F9"/>
    <w:multiLevelType w:val="multilevel"/>
    <w:tmpl w:val="BB0F62F9"/>
    <w:lvl w:ilvl="0" w:tentative="0">
      <w:start w:val="1"/>
      <w:numFmt w:val="bullet"/>
      <w:lvlText w:val=""/>
      <w:lvlJc w:val="left"/>
      <w:pPr>
        <w:tabs>
          <w:tab w:val="left" w:pos="420"/>
        </w:tabs>
        <w:ind w:left="6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7C3F63"/>
    <w:rsid w:val="1DEA740E"/>
    <w:rsid w:val="291A3570"/>
    <w:rsid w:val="30C14661"/>
    <w:rsid w:val="46E8068F"/>
    <w:rsid w:val="5592012D"/>
    <w:rsid w:val="758F7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16</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Raymond Zheng</cp:lastModifiedBy>
  <dcterms:modified xsi:type="dcterms:W3CDTF">2026-06-14T08:42:13Z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21A0E16FF92043D19156B942A72B2FF7_12</vt:lpwstr>
  </property>
</Properties>
</file>