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0"/>
        </w:rPr>
        <w:t>ADMINISTRATIVE LAW — UNIFIED ANSWER FRAMEWORK</w:t>
      </w:r>
    </w:p>
    <w:p>
      <w:pPr>
        <w:jc w:val="center"/>
      </w:pPr>
      <w:r>
        <w:rPr>
          <w:color w:val="595959"/>
          <w:sz w:val="26"/>
        </w:rPr>
        <w:t>Combining Merits Review and Judicial Review in one approach</w:t>
      </w:r>
    </w:p>
    <w:p>
      <w:pPr>
        <w:spacing w:before="160"/>
        <w:jc w:val="center"/>
      </w:pPr>
      <w:r>
        <w:rPr>
          <w:b/>
          <w:sz w:val="22"/>
        </w:rPr>
        <w:t>Triage · two IRAC templates · strategic interplay · comparison table</w:t>
      </w:r>
    </w:p>
    <w:p>
      <w:pPr>
        <w:spacing w:before="480"/>
        <w:jc w:val="center"/>
      </w:pPr>
      <w:r>
        <w:rPr>
          <w:i/>
          <w:color w:val="595959"/>
          <w:sz w:val="18"/>
        </w:rPr>
        <w:t>Prepared for Raymond · 8 June 2026 · Authorities drawn from the seminar slides and notes</w:t>
      </w:r>
    </w:p>
    <w:p>
      <w:r>
        <w:br w:type="page"/>
      </w:r>
    </w:p>
    <w:p>
      <w:pPr>
        <w:pBdr>
          <w:bottom w:val="single" w:sz="8" w:space="4" w:color="1F4E79"/>
        </w:pBdr>
      </w:pPr>
      <w:r>
        <w:rPr>
          <w:b/>
          <w:color w:val="1F4E79"/>
          <w:sz w:val="32"/>
        </w:rPr>
        <w:t>How to Use This Framework</w:t>
      </w:r>
    </w:p>
    <w:p>
      <w:pPr>
        <w:jc w:val="both"/>
      </w:pPr>
      <w:r>
        <w:t xml:space="preserve">An administrative-law problem usually presents a client unhappy with a government decision. There are two principal court/tribunal avenues, and they ask </w:t>
      </w:r>
      <w:r>
        <w:rPr>
          <w:b/>
        </w:rPr>
        <w:t>different questions</w:t>
      </w:r>
      <w:r>
        <w:t>:</w:t>
      </w:r>
    </w:p>
    <w:p>
      <w:pPr>
        <w:pStyle w:val="ListBullet"/>
      </w:pPr>
      <w:r>
        <w:rPr>
          <w:b/>
        </w:rPr>
        <w:t>Merits review (MR):</w:t>
      </w:r>
      <w:r>
        <w:t xml:space="preserve"> ‘What is the </w:t>
      </w:r>
      <w:r>
        <w:rPr>
          <w:b/>
        </w:rPr>
        <w:t>correct or preferable</w:t>
      </w:r>
      <w:r>
        <w:t xml:space="preserve"> decision?’ A </w:t>
      </w:r>
      <w:r>
        <w:rPr>
          <w:b/>
        </w:rPr>
        <w:t>tribunal</w:t>
      </w:r>
      <w:r>
        <w:t xml:space="preserve"> (VCAT in Victoria; the ART federally) stands in the shoes of the decision-maker and </w:t>
      </w:r>
      <w:r>
        <w:rPr>
          <w:b/>
        </w:rPr>
        <w:t>remakes the decision afresh</w:t>
      </w:r>
      <w:r>
        <w:t xml:space="preserve"> on the best and most current evidence, applying the </w:t>
      </w:r>
      <w:r>
        <w:rPr>
          <w:b/>
        </w:rPr>
        <w:t>same substantive statutory criteria</w:t>
      </w:r>
      <w:r>
        <w:t xml:space="preserve"> that bound the original decision-maker. It can </w:t>
      </w:r>
      <w:r>
        <w:rPr>
          <w:b/>
        </w:rPr>
        <w:t>affirm, vary or set aside and substitute</w:t>
      </w:r>
      <w:r>
        <w:t xml:space="preserve"> its own decision.</w:t>
      </w:r>
    </w:p>
    <w:p>
      <w:pPr>
        <w:pStyle w:val="ListBullet"/>
      </w:pPr>
      <w:r>
        <w:rPr>
          <w:b/>
        </w:rPr>
        <w:t>Judicial review (JR):</w:t>
      </w:r>
      <w:r>
        <w:t xml:space="preserve"> ‘Was the decision </w:t>
      </w:r>
      <w:r>
        <w:rPr>
          <w:b/>
        </w:rPr>
        <w:t>lawful</w:t>
      </w:r>
      <w:r>
        <w:t xml:space="preserve">?’ A </w:t>
      </w:r>
      <w:r>
        <w:rPr>
          <w:b/>
        </w:rPr>
        <w:t>court</w:t>
      </w:r>
      <w:r>
        <w:t xml:space="preserve"> reviews only the </w:t>
      </w:r>
      <w:r>
        <w:rPr>
          <w:b/>
        </w:rPr>
        <w:t>legality</w:t>
      </w:r>
      <w:r>
        <w:t xml:space="preserve"> of the exercise of power (the grounds of review). It </w:t>
      </w:r>
      <w:r>
        <w:rPr>
          <w:b/>
        </w:rPr>
        <w:t>cannot</w:t>
      </w:r>
      <w:r>
        <w:t xml:space="preserve"> substitute its own decision on the merits; it quashes and remits.</w:t>
      </w:r>
    </w:p>
    <w:p>
      <w:pPr>
        <w:jc w:val="both"/>
      </w:pPr>
      <w:r>
        <w:t xml:space="preserve">Because they are alternative — and sometimes sequential — responses to the same decision, a complete answer often has to address </w:t>
      </w:r>
      <w:r>
        <w:rPr>
          <w:b/>
        </w:rPr>
        <w:t>both</w:t>
      </w:r>
      <w:r>
        <w:t>. This framework gives you: (1) a triage to choose the avenue; (2) the MR answer template; (3) the JR answer template; (4) the strategic interplay between them; and (5) a one-page comparison table. The two templates can be run independently or stitched together in a single advice.</w:t>
      </w:r>
    </w:p>
    <w:p>
      <w:r>
        <w:br w:type="page"/>
      </w:r>
    </w:p>
    <w:p>
      <w:pPr>
        <w:pBdr>
          <w:bottom w:val="single" w:sz="8" w:space="4" w:color="1F4E79"/>
        </w:pBdr>
      </w:pPr>
      <w:r>
        <w:rPr>
          <w:b/>
          <w:color w:val="1F4E79"/>
          <w:sz w:val="32"/>
        </w:rPr>
        <w:t>Part 1 — Triage: Which Avenue (or Both)?</w:t>
      </w:r>
    </w:p>
    <w:p>
      <w:pPr>
        <w:jc w:val="both"/>
      </w:pPr>
      <w:r>
        <w:t>Work through these questions first; they determine the structure of the answer.</w:t>
      </w:r>
    </w:p>
    <w:p>
      <w:pPr>
        <w:pStyle w:val="ListNumber"/>
      </w:pPr>
      <w:r>
        <w:rPr>
          <w:b/>
        </w:rPr>
        <w:t>What does the client want?</w:t>
      </w:r>
      <w:r>
        <w:t xml:space="preserve"> A </w:t>
      </w:r>
      <w:r>
        <w:rPr>
          <w:b/>
        </w:rPr>
        <w:t>different outcome</w:t>
      </w:r>
      <w:r>
        <w:t xml:space="preserve"> (the licence granted, the debt cancelled) points to </w:t>
      </w:r>
      <w:r>
        <w:rPr>
          <w:b/>
        </w:rPr>
        <w:t>merits review</w:t>
      </w:r>
      <w:r>
        <w:t xml:space="preserve">, because only MR can substitute the correct or preferable decision. A finding that the decision was </w:t>
      </w:r>
      <w:r>
        <w:rPr>
          <w:b/>
        </w:rPr>
        <w:t>unlawful / made without power</w:t>
      </w:r>
      <w:r>
        <w:t xml:space="preserve"> (or there is no merits-review right) points to </w:t>
      </w:r>
      <w:r>
        <w:rPr>
          <w:b/>
        </w:rPr>
        <w:t>judicial review</w:t>
      </w:r>
      <w:r>
        <w:t>.</w:t>
      </w:r>
    </w:p>
    <w:p>
      <w:pPr>
        <w:pStyle w:val="ListNumber"/>
      </w:pPr>
      <w:r>
        <w:rPr>
          <w:b/>
        </w:rPr>
        <w:t>Is merits review available?</w:t>
      </w:r>
      <w:r>
        <w:t xml:space="preserve"> MR is </w:t>
      </w:r>
      <w:r>
        <w:rPr>
          <w:b/>
        </w:rPr>
        <w:t>not inherent</w:t>
      </w:r>
      <w:r>
        <w:t xml:space="preserve"> — it exists only where an </w:t>
      </w:r>
      <w:r>
        <w:rPr>
          <w:b/>
        </w:rPr>
        <w:t>enabling Act expressly confers</w:t>
      </w:r>
      <w:r>
        <w:t xml:space="preserve"> it on the tribunal (VCAT Act 1998 (Vic) s 42(1) (Sem 5 s7); federally, the ART Act). Identify the enabling Act, the provision conferring review, the </w:t>
      </w:r>
      <w:r>
        <w:rPr>
          <w:b/>
        </w:rPr>
        <w:t>standing</w:t>
      </w:r>
      <w:r>
        <w:t xml:space="preserve"> provision and the </w:t>
      </w:r>
      <w:r>
        <w:rPr>
          <w:b/>
        </w:rPr>
        <w:t>time limit</w:t>
      </w:r>
      <w:r>
        <w:t>. If no enabling Act confers review, MR is unavailable and JR (or the Ombudsman) is the only path.</w:t>
      </w:r>
    </w:p>
    <w:p>
      <w:pPr>
        <w:pStyle w:val="ListNumber"/>
      </w:pPr>
      <w:r>
        <w:rPr>
          <w:b/>
        </w:rPr>
        <w:t>Is judicial review available, and in which forum?</w:t>
      </w:r>
      <w:r>
        <w:t xml:space="preserve"> JR is always available for jurisdictional error and cannot be ousted (Supreme Court of Victoria’s entrenched supervisory jurisdiction — *Kirk* (Sem 23 s11–12); federally s 75(v) — *Plaintiff S157* (Sem 23 s8–10)). Choose the forum (Vic: Supreme Court under Order 56 / ALA; federal: s 39B Judiciary Act / ADJR Act).</w:t>
      </w:r>
    </w:p>
    <w:p>
      <w:pPr>
        <w:pStyle w:val="ListNumber"/>
      </w:pPr>
      <w:r>
        <w:rPr>
          <w:b/>
        </w:rPr>
        <w:t>Sequence and interplay.</w:t>
      </w:r>
      <w:r>
        <w:t xml:space="preserve"> Where both are available, </w:t>
      </w:r>
      <w:r>
        <w:rPr>
          <w:b/>
        </w:rPr>
        <w:t>MR is usually pursued first</w:t>
      </w:r>
      <w:r>
        <w:t xml:space="preserve"> (cheaper, no standing/UPL hurdles, can fix the merits, and a fresh decision may make JR unnecessary). JR is held in reserve for legality defects, for when MR is unavailable or exhausted, or to challenge the tribunal’s own decision (a tribunal’s MR decision is itself amenable to JR). A </w:t>
      </w:r>
      <w:r>
        <w:rPr>
          <w:b/>
        </w:rPr>
        <w:t>statutory reasons request</w:t>
      </w:r>
      <w:r>
        <w:t xml:space="preserve"> (ADJR s 13; ALA s 8 in Vic) is often the first step in either path.</w:t>
      </w:r>
    </w:p>
    <w:p>
      <w:pPr>
        <w:jc w:val="both"/>
      </w:pPr>
      <w:r>
        <w:rPr>
          <w:b/>
        </w:rPr>
        <w:t>Drafting tip:</w:t>
      </w:r>
      <w:r>
        <w:t xml:space="preserve"> if the problem asks ‘advise the client’, address the avenue the client’s goal requires first, then note the alternative. If it asks two discrete questions (e.g. ‘can X apply for review’ and ‘what are X’s prospects’), answer in that order — exactly the MR template below.</w:t>
      </w:r>
    </w:p>
    <w:p>
      <w:r>
        <w:br w:type="page"/>
      </w:r>
    </w:p>
    <w:p>
      <w:pPr>
        <w:pBdr>
          <w:bottom w:val="single" w:sz="8" w:space="4" w:color="1F4E79"/>
        </w:pBdr>
      </w:pPr>
      <w:r>
        <w:rPr>
          <w:b/>
          <w:color w:val="1F4E79"/>
          <w:sz w:val="32"/>
        </w:rPr>
        <w:t>Part 2 — Merits Review Answer Template</w:t>
      </w:r>
    </w:p>
    <w:p>
      <w:pPr>
        <w:jc w:val="both"/>
      </w:pPr>
      <w:r>
        <w:t xml:space="preserve">Structure MR as two issues: </w:t>
      </w:r>
      <w:r>
        <w:rPr>
          <w:b/>
        </w:rPr>
        <w:t>(a) Can the client apply?</w:t>
      </w:r>
      <w:r>
        <w:t xml:space="preserve"> (jurisdiction + standing) and </w:t>
      </w:r>
      <w:r>
        <w:rPr>
          <w:b/>
        </w:rPr>
        <w:t>(b) What are the prospects?</w:t>
      </w:r>
      <w:r>
        <w:t xml:space="preserve"> (nature/function of MR, then application of the substantive statutory criteria, then remedies).</w:t>
      </w:r>
    </w:p>
    <w:p>
      <w:pPr>
        <w:spacing w:before="200"/>
      </w:pPr>
      <w:r>
        <w:rPr>
          <w:b/>
          <w:color w:val="1F4E79"/>
          <w:sz w:val="26"/>
        </w:rPr>
        <w:t>Issue (a) — Can the client apply for merits review?</w:t>
      </w:r>
    </w:p>
    <w:p>
      <w:pPr>
        <w:spacing w:before="160"/>
      </w:pPr>
      <w:r>
        <w:rPr>
          <w:b/>
          <w:sz w:val="23"/>
        </w:rPr>
        <w:t>Jurisdiction</w:t>
      </w:r>
    </w:p>
    <w:p>
      <w:pPr>
        <w:spacing w:before="60" w:after="20"/>
      </w:pPr>
      <w:r>
        <w:rPr>
          <w:b/>
          <w:i/>
          <w:color w:val="595959"/>
        </w:rPr>
        <w:t>Rule</w:t>
      </w:r>
    </w:p>
    <w:p>
      <w:pPr>
        <w:jc w:val="both"/>
      </w:pPr>
      <w:r>
        <w:t xml:space="preserve">VCAT has review jurisdiction only where an </w:t>
      </w:r>
      <w:r>
        <w:rPr>
          <w:b/>
        </w:rPr>
        <w:t>enabling Act expressly confers</w:t>
      </w:r>
      <w:r>
        <w:t xml:space="preserve"> it: </w:t>
      </w:r>
      <w:r>
        <w:rPr>
          <w:b/>
        </w:rPr>
        <w:t>VCAT Act 1998 (Vic) s 42(1)</w:t>
      </w:r>
      <w:r>
        <w:t xml:space="preserve"> (Sem 5 s7). Identify the enabling Act’s review provision and its </w:t>
      </w:r>
      <w:r>
        <w:rPr>
          <w:b/>
        </w:rPr>
        <w:t>time limit</w:t>
      </w:r>
      <w:r>
        <w:t xml:space="preserve"> (commonly 28 days from the decision), reinforced by VCAT Act s 48 (when jurisdiction is invoked). VCAT may </w:t>
      </w:r>
      <w:r>
        <w:rPr>
          <w:b/>
        </w:rPr>
        <w:t>extend</w:t>
      </w:r>
      <w:r>
        <w:t xml:space="preserve"> a time limit (VCAT Act s 126(1)).</w:t>
      </w:r>
    </w:p>
    <w:p>
      <w:pPr>
        <w:spacing w:before="60" w:after="20"/>
      </w:pPr>
      <w:r>
        <w:rPr>
          <w:b/>
          <w:i/>
          <w:color w:val="595959"/>
        </w:rPr>
        <w:t>Application</w:t>
      </w:r>
    </w:p>
    <w:p>
      <w:pPr>
        <w:jc w:val="both"/>
      </w:pPr>
      <w:r>
        <w:t>Confirm the decision is one the enabling Act makes reviewable, identify the decision date, and check the applicant is within time (or can seek an extension).</w:t>
      </w:r>
    </w:p>
    <w:p>
      <w:pPr>
        <w:spacing w:before="160"/>
      </w:pPr>
      <w:r>
        <w:rPr>
          <w:b/>
          <w:sz w:val="23"/>
        </w:rPr>
        <w:t>Standing</w:t>
      </w:r>
    </w:p>
    <w:p>
      <w:pPr>
        <w:spacing w:before="60" w:after="20"/>
      </w:pPr>
      <w:r>
        <w:rPr>
          <w:b/>
          <w:i/>
          <w:color w:val="595959"/>
        </w:rPr>
        <w:t>Rule</w:t>
      </w:r>
    </w:p>
    <w:p>
      <w:pPr>
        <w:jc w:val="both"/>
      </w:pPr>
      <w:r>
        <w:t xml:space="preserve">VCAT Act </w:t>
      </w:r>
      <w:r>
        <w:rPr>
          <w:b/>
        </w:rPr>
        <w:t>s 48(a)</w:t>
      </w:r>
      <w:r>
        <w:t xml:space="preserve"> allows a person to apply if entitled to do so by the enabling enactment; the enabling Act’s review provision usually defines who may apply (e.g. ‘a person whose application for a licence is refused may apply to VCAT’).</w:t>
      </w:r>
    </w:p>
    <w:p>
      <w:pPr>
        <w:spacing w:before="60" w:after="20"/>
      </w:pPr>
      <w:r>
        <w:rPr>
          <w:b/>
          <w:i/>
          <w:color w:val="595959"/>
        </w:rPr>
        <w:t>Application</w:t>
      </w:r>
    </w:p>
    <w:p>
      <w:pPr>
        <w:jc w:val="both"/>
      </w:pPr>
      <w:r>
        <w:t>Show the applicant falls within that class (and satisfies any threshold formalities — age, form, fee).</w:t>
      </w:r>
    </w:p>
    <w:p>
      <w:pPr>
        <w:spacing w:before="60" w:after="20"/>
      </w:pPr>
      <w:r>
        <w:rPr>
          <w:b/>
          <w:i/>
          <w:color w:val="595959"/>
        </w:rPr>
        <w:t>Conclusion</w:t>
      </w:r>
    </w:p>
    <w:p>
      <w:pPr>
        <w:jc w:val="both"/>
      </w:pPr>
      <w:r>
        <w:t>State whether the applicant may bring the application, subject to the time limit (and the s 126(1) extension fallback).</w:t>
      </w:r>
    </w:p>
    <w:p>
      <w:pPr>
        <w:spacing w:before="200"/>
      </w:pPr>
      <w:r>
        <w:rPr>
          <w:b/>
          <w:color w:val="1F4E79"/>
          <w:sz w:val="26"/>
        </w:rPr>
        <w:t>Issue (b) — What are the prospects of success?</w:t>
      </w:r>
    </w:p>
    <w:p>
      <w:pPr>
        <w:spacing w:before="160"/>
      </w:pPr>
      <w:r>
        <w:rPr>
          <w:b/>
          <w:sz w:val="23"/>
        </w:rPr>
        <w:t>Nature and function of merits review</w:t>
      </w:r>
    </w:p>
    <w:p>
      <w:pPr>
        <w:jc w:val="both"/>
      </w:pPr>
      <w:r>
        <w:t xml:space="preserve">Merits review is performed by a </w:t>
      </w:r>
      <w:r>
        <w:rPr>
          <w:b/>
        </w:rPr>
        <w:t>tribunal in the executive branch</w:t>
      </w:r>
      <w:r>
        <w:t xml:space="preserve"> (not an exercise of judicial power). The tribunal </w:t>
      </w:r>
      <w:r>
        <w:rPr>
          <w:b/>
        </w:rPr>
        <w:t>stands in the shoes</w:t>
      </w:r>
      <w:r>
        <w:t xml:space="preserve"> of the original decision-maker and determines the </w:t>
      </w:r>
      <w:r>
        <w:rPr>
          <w:b/>
        </w:rPr>
        <w:t>correct or preferable decision</w:t>
      </w:r>
      <w:r>
        <w:t xml:space="preserve"> on the material before it (*Drake v Minister for Immigration and Ethnic Affairs (No 1)* (Sem 5 s9); *Re Drake (No 2)* (Sem 5 s12–13)), codified in VCAT Act </w:t>
      </w:r>
      <w:r>
        <w:rPr>
          <w:b/>
        </w:rPr>
        <w:t>s 51(1)</w:t>
      </w:r>
      <w:r>
        <w:t xml:space="preserve">. It decides on the </w:t>
      </w:r>
      <w:r>
        <w:rPr>
          <w:b/>
        </w:rPr>
        <w:t>best and most current evidence</w:t>
      </w:r>
      <w:r>
        <w:t xml:space="preserve"> available at the time of review (*Shi v Migration Agents Registration Authority* (Sem 5 s14–15)).</w:t>
      </w:r>
    </w:p>
    <w:p>
      <w:pPr>
        <w:spacing w:before="160"/>
      </w:pPr>
      <w:r>
        <w:rPr>
          <w:b/>
          <w:sz w:val="23"/>
        </w:rPr>
        <w:t>Power and function</w:t>
      </w:r>
    </w:p>
    <w:p>
      <w:pPr>
        <w:jc w:val="both"/>
      </w:pPr>
      <w:r>
        <w:t xml:space="preserve">The tribunal exercises the powers and functions conferred by the VCAT Act </w:t>
      </w:r>
      <w:r>
        <w:rPr>
          <w:b/>
        </w:rPr>
        <w:t>and</w:t>
      </w:r>
      <w:r>
        <w:t xml:space="preserve"> the enabling Act, and </w:t>
      </w:r>
      <w:r>
        <w:rPr>
          <w:b/>
        </w:rPr>
        <w:t>remakes the decision afresh applying the same statutory criteria that bound the original decision-maker</w:t>
      </w:r>
      <w:r>
        <w:t xml:space="preserve"> — it is ‘not at large’ and is ‘subject to the same general constraints as the original decision-maker’ (*Frugtniet v Australian Securities and Investments Commission* (Sem 5 s16–17; Sem 6 s5–6)). It is therefore the </w:t>
      </w:r>
      <w:r>
        <w:rPr>
          <w:b/>
        </w:rPr>
        <w:t>substantive grant/refusal provision</w:t>
      </w:r>
      <w:r>
        <w:t xml:space="preserve"> of the enabling Act that the tribunal must apply directly.</w:t>
      </w:r>
    </w:p>
    <w:p>
      <w:pPr>
        <w:spacing w:before="160"/>
      </w:pPr>
      <w:r>
        <w:rPr>
          <w:b/>
          <w:sz w:val="23"/>
        </w:rPr>
        <w:t>Applying the substantive statutory criteria (the heart of the answer)</w:t>
      </w:r>
    </w:p>
    <w:p>
      <w:pPr>
        <w:spacing w:before="60" w:after="20"/>
      </w:pPr>
      <w:r>
        <w:rPr>
          <w:b/>
          <w:i/>
          <w:color w:val="595959"/>
        </w:rPr>
        <w:t>Rule</w:t>
      </w:r>
    </w:p>
    <w:p>
      <w:pPr>
        <w:jc w:val="both"/>
      </w:pPr>
      <w:r>
        <w:t xml:space="preserve">Set out the operative grant/refusal provision and any defined terms (e.g. ‘fit and proper person’ and the disqualification criteria). This is a </w:t>
      </w:r>
      <w:r>
        <w:rPr>
          <w:b/>
        </w:rPr>
        <w:t>statutory-construction</w:t>
      </w:r>
      <w:r>
        <w:t xml:space="preserve"> exercise: give the provision its meaning by </w:t>
      </w:r>
      <w:r>
        <w:rPr>
          <w:b/>
        </w:rPr>
        <w:t>text, context and purpose</w:t>
      </w:r>
      <w:r>
        <w:t>, adopting the interpretation that best achieves the statutory purpose (Interpretation of Legislation Act 1984 (Vic) s 35(a)); extrinsic materials may be consulted.</w:t>
      </w:r>
    </w:p>
    <w:p>
      <w:pPr>
        <w:spacing w:before="60" w:after="20"/>
      </w:pPr>
      <w:r>
        <w:rPr>
          <w:b/>
          <w:i/>
          <w:color w:val="595959"/>
        </w:rPr>
        <w:t>Application</w:t>
      </w:r>
    </w:p>
    <w:p>
      <w:pPr>
        <w:jc w:val="both"/>
      </w:pPr>
      <w:r>
        <w:t xml:space="preserve">Apply each limb of the criteria to the facts. For each contested criterion, argue it </w:t>
      </w:r>
      <w:r>
        <w:rPr>
          <w:b/>
        </w:rPr>
        <w:t>both ways</w:t>
      </w:r>
      <w:r>
        <w:t xml:space="preserve"> — the case for the client, the </w:t>
      </w:r>
      <w:r>
        <w:rPr>
          <w:b/>
        </w:rPr>
        <w:t>counter-argument</w:t>
      </w:r>
      <w:r>
        <w:t xml:space="preserve">, and the </w:t>
      </w:r>
      <w:r>
        <w:rPr>
          <w:b/>
        </w:rPr>
        <w:t>better view</w:t>
      </w:r>
      <w:r>
        <w:t xml:space="preserve"> — and identify where </w:t>
      </w:r>
      <w:r>
        <w:rPr>
          <w:b/>
        </w:rPr>
        <w:t>further inquiry</w:t>
      </w:r>
      <w:r>
        <w:t xml:space="preserve"> is needed (the tribunal decides on the best current evidence, so flag gaps). Because the tribunal applies the same criteria as the decision-maker, the analysis tracks the statute, not the grounds of review.</w:t>
      </w:r>
    </w:p>
    <w:p>
      <w:pPr>
        <w:spacing w:before="60" w:after="20"/>
      </w:pPr>
      <w:r>
        <w:rPr>
          <w:b/>
          <w:i/>
          <w:color w:val="595959"/>
        </w:rPr>
        <w:t>Conclusion / remedies</w:t>
      </w:r>
    </w:p>
    <w:p>
      <w:pPr>
        <w:jc w:val="both"/>
      </w:pPr>
      <w:r>
        <w:t xml:space="preserve">State the orders available on review — </w:t>
      </w:r>
      <w:r>
        <w:rPr>
          <w:b/>
        </w:rPr>
        <w:t>affirm, vary, or set aside and substitute</w:t>
      </w:r>
      <w:r>
        <w:t xml:space="preserve"> (VCAT Act </w:t>
      </w:r>
      <w:r>
        <w:rPr>
          <w:b/>
        </w:rPr>
        <w:t>s 51(2)</w:t>
      </w:r>
      <w:r>
        <w:t>) — and, drawing on the enabling Act’s substantive powers, conclude whether the tribunal is likely to remake the decision in the client’s favour (e.g. grant the licence).</w:t>
      </w:r>
    </w:p>
    <w:p>
      <w:r>
        <w:br w:type="page"/>
      </w:r>
    </w:p>
    <w:p>
      <w:pPr>
        <w:pBdr>
          <w:bottom w:val="single" w:sz="8" w:space="4" w:color="1F4E79"/>
        </w:pBdr>
      </w:pPr>
      <w:r>
        <w:rPr>
          <w:b/>
          <w:color w:val="1F4E79"/>
          <w:sz w:val="32"/>
        </w:rPr>
        <w:t>Part 3 — Judicial Review Answer Template</w:t>
      </w:r>
    </w:p>
    <w:p>
      <w:pPr>
        <w:jc w:val="both"/>
      </w:pPr>
      <w:r>
        <w:t>Run JR in the established order (this mirrors the full hypothetical framework already prepared; condensed here):</w:t>
      </w:r>
    </w:p>
    <w:p>
      <w:pPr>
        <w:pStyle w:val="ListNumber"/>
      </w:pPr>
      <w:r>
        <w:rPr>
          <w:b/>
        </w:rPr>
        <w:t>Jurisdiction &amp; avenue</w:t>
      </w:r>
      <w:r>
        <w:t xml:space="preserve"> — Vic: Supreme Court inherent supervisory jurisdiction, accessed by </w:t>
      </w:r>
      <w:r>
        <w:rPr>
          <w:b/>
        </w:rPr>
        <w:t>Order 56</w:t>
      </w:r>
      <w:r>
        <w:t xml:space="preserve"> (60-day limit) or the </w:t>
      </w:r>
      <w:r>
        <w:rPr>
          <w:b/>
        </w:rPr>
        <w:t>Administrative Law Act 1978 (Vic)</w:t>
      </w:r>
      <w:r>
        <w:t xml:space="preserve"> (30-day limit; s 8 reasons; s 10 record); the jurisdiction is entrenched and cannot be ousted (*Kirk*; s 85 Constitution Act 1975 (Vic)). Federally: </w:t>
      </w:r>
      <w:r>
        <w:rPr>
          <w:b/>
        </w:rPr>
        <w:t>s 39B Judiciary Act</w:t>
      </w:r>
      <w:r>
        <w:t xml:space="preserve"> / </w:t>
      </w:r>
      <w:r>
        <w:rPr>
          <w:b/>
        </w:rPr>
        <w:t>ADJR Act</w:t>
      </w:r>
      <w:r>
        <w:t xml:space="preserve">; </w:t>
      </w:r>
      <w:r>
        <w:rPr>
          <w:b/>
        </w:rPr>
        <w:t>s 75(v)</w:t>
      </w:r>
      <w:r>
        <w:t xml:space="preserve"> in the High Court (*Plaintiff S157*).</w:t>
      </w:r>
    </w:p>
    <w:p>
      <w:pPr>
        <w:pStyle w:val="ListNumber"/>
      </w:pPr>
      <w:r>
        <w:rPr>
          <w:b/>
        </w:rPr>
        <w:t>Remedies</w:t>
      </w:r>
      <w:r>
        <w:t xml:space="preserve"> — certiorari, mandamus, prohibition (O 56); injunction and declaration in the inherent jurisdiction; the court cannot substitute the decision.</w:t>
      </w:r>
    </w:p>
    <w:p>
      <w:pPr>
        <w:pStyle w:val="ListNumber"/>
      </w:pPr>
      <w:r>
        <w:rPr>
          <w:b/>
        </w:rPr>
        <w:t>Standing</w:t>
      </w:r>
      <w:r>
        <w:t xml:space="preserve"> — sufficient interest/special interest (*ACF*; *Onus*; *Argos*); ‘person aggrieved’ under the ADJR Act.</w:t>
      </w:r>
    </w:p>
    <w:p>
      <w:pPr>
        <w:pStyle w:val="ListNumber"/>
      </w:pPr>
      <w:r>
        <w:rPr>
          <w:b/>
        </w:rPr>
        <w:t>Grounds of review</w:t>
      </w:r>
      <w:r>
        <w:t xml:space="preserve"> — without authority/error of law; improper purpose; relevant/irrelevant considerations; invalid delegation; procedural fairness (hearing rule; bias); objective/subjective jurisdictional fact; no evidence; unreasonableness; unlawful or inflexibly applied policy; ultra vires delegated legislation; (Vic) Charter s 38. Argue each ground for and against, then a balanced view.</w:t>
      </w:r>
    </w:p>
    <w:p>
      <w:pPr>
        <w:pStyle w:val="ListNumber"/>
      </w:pPr>
      <w:r>
        <w:rPr>
          <w:b/>
        </w:rPr>
        <w:t>Breach &amp; consequences</w:t>
      </w:r>
      <w:r>
        <w:t xml:space="preserve"> — the two-stage analysis (Project Blue Sky purpose test; LPDT materiality; bias/unreasonableness jurisdictional irrespective of materiality; Bhardwaj — no decision at all).</w:t>
      </w:r>
    </w:p>
    <w:p>
      <w:pPr>
        <w:pStyle w:val="ListNumber"/>
      </w:pPr>
      <w:r>
        <w:rPr>
          <w:b/>
        </w:rPr>
        <w:t>Remedies (Part II) &amp; strongest ground</w:t>
      </w:r>
      <w:r>
        <w:t xml:space="preserve"> — likely availability; identify the single strongest ground for the full consequences analysis.</w:t>
      </w:r>
    </w:p>
    <w:p>
      <w:pPr>
        <w:pStyle w:val="ListNumber"/>
      </w:pPr>
      <w:r>
        <w:rPr>
          <w:b/>
        </w:rPr>
        <w:t>Privative clause (if any)</w:t>
      </w:r>
      <w:r>
        <w:t xml:space="preserve"> — read down so as not to protect jurisdictional error (*Hickman*/*Plaintiff S157*; *Kirk*; *Graham*).</w:t>
      </w:r>
    </w:p>
    <w:p>
      <w:pPr>
        <w:jc w:val="both"/>
      </w:pPr>
      <w:r>
        <w:rPr>
          <w:b/>
        </w:rPr>
        <w:t>Key contrast to keep visible:</w:t>
      </w:r>
      <w:r>
        <w:t xml:space="preserve"> JR never asks whether the decision was *right*; only whether it was *lawful*. If the client’s goal is a different outcome, JR alone is insufficient — it can only send the decision back to be remade.</w:t>
      </w:r>
    </w:p>
    <w:p>
      <w:r>
        <w:br w:type="page"/>
      </w:r>
    </w:p>
    <w:p>
      <w:pPr>
        <w:pBdr>
          <w:bottom w:val="single" w:sz="8" w:space="4" w:color="1F4E79"/>
        </w:pBdr>
      </w:pPr>
      <w:r>
        <w:rPr>
          <w:b/>
          <w:color w:val="1F4E79"/>
          <w:sz w:val="32"/>
        </w:rPr>
        <w:t>Part 4 — The Strategic Interplay (combining the two)</w:t>
      </w:r>
    </w:p>
    <w:p>
      <w:pPr>
        <w:pStyle w:val="ListBullet"/>
      </w:pPr>
      <w:r>
        <w:rPr>
          <w:b/>
        </w:rPr>
        <w:t>MR first where available.</w:t>
      </w:r>
      <w:r>
        <w:t xml:space="preserve"> It is cheaper, has no adverse-costs/UPL barriers, allows full reconsideration on current evidence (*Shi*), and can deliver the outcome the client actually wants — often making JR unnecessary.</w:t>
      </w:r>
    </w:p>
    <w:p>
      <w:pPr>
        <w:pStyle w:val="ListBullet"/>
      </w:pPr>
      <w:r>
        <w:rPr>
          <w:b/>
        </w:rPr>
        <w:t>JR where MR is unavailable or the complaint is about legality.</w:t>
      </w:r>
      <w:r>
        <w:t xml:space="preserve"> No enabling Act conferring review → JR (or Ombudsman). A decision affected by jurisdictional error → JR, because no amount of merits reconsideration cures an unlawful exercise of power.</w:t>
      </w:r>
    </w:p>
    <w:p>
      <w:pPr>
        <w:pStyle w:val="ListBullet"/>
      </w:pPr>
      <w:r>
        <w:rPr>
          <w:b/>
        </w:rPr>
        <w:t>JR of the tribunal’s MR decision.</w:t>
      </w:r>
      <w:r>
        <w:t xml:space="preserve"> The tribunal’s decision is itself an exercise of statutory power and is amenable to JR for jurisdictional error (e.g. the tribunal misconstrued the criteria, denied procedural fairness, or strayed beyond the ‘same constraints’ limit in *Frugtniet*). So MR and JR can run in sequence on the same matter.</w:t>
      </w:r>
    </w:p>
    <w:p>
      <w:pPr>
        <w:pStyle w:val="ListBullet"/>
      </w:pPr>
      <w:r>
        <w:rPr>
          <w:b/>
        </w:rPr>
        <w:t>Shared first step — reasons.</w:t>
      </w:r>
      <w:r>
        <w:t xml:space="preserve"> A statutory reasons request (ADJR s 13; ALA s 8 in Vic) informs the choice of avenue and strengthens either path.</w:t>
      </w:r>
    </w:p>
    <w:p>
      <w:pPr>
        <w:pStyle w:val="ListBullet"/>
      </w:pPr>
      <w:r>
        <w:rPr>
          <w:b/>
        </w:rPr>
        <w:t>Forum and cost.</w:t>
      </w:r>
      <w:r>
        <w:t xml:space="preserve"> MR is low/no-fee and SRL-friendly; JR carries court fees and adverse-costs risk. This usually makes MR the rational first move for an individual.</w:t>
      </w:r>
    </w:p>
    <w:p>
      <w:pPr>
        <w:pStyle w:val="ListBullet"/>
      </w:pPr>
      <w:r>
        <w:rPr>
          <w:b/>
        </w:rPr>
        <w:t>One combined advice.</w:t>
      </w:r>
      <w:r>
        <w:t xml:space="preserve"> Where a problem invites both, structure as: (1) triage; (2) MR (can they apply? prospects?); (3) JR (is the decision lawful? what relief?); (4) recommendation on sequence. Flag clearly when you switch from the </w:t>
      </w:r>
      <w:r>
        <w:rPr>
          <w:b/>
        </w:rPr>
        <w:t>merits</w:t>
      </w:r>
      <w:r>
        <w:t xml:space="preserve"> question to the </w:t>
      </w:r>
      <w:r>
        <w:rPr>
          <w:b/>
        </w:rPr>
        <w:t>legality</w:t>
      </w:r>
      <w:r>
        <w:t xml:space="preserve"> question — examiners reward the candidate who keeps the two analyses distinct but shows how they fit together.</w:t>
      </w:r>
    </w:p>
    <w:p>
      <w:r>
        <w:br w:type="page"/>
      </w:r>
    </w:p>
    <w:p>
      <w:pPr>
        <w:pBdr>
          <w:bottom w:val="single" w:sz="8" w:space="4" w:color="1F4E79"/>
        </w:pBdr>
      </w:pPr>
      <w:r>
        <w:rPr>
          <w:b/>
          <w:color w:val="1F4E79"/>
          <w:sz w:val="32"/>
        </w:rPr>
        <w:t>Part 5 — Merits Review vs Judicial Review at a Glance</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val="clear" w:fill="1F4E79"/>
          </w:tcPr>
          <w:p>
            <w:r>
              <w:rPr>
                <w:b/>
                <w:color w:val="FFFFFF"/>
                <w:sz w:val="19"/>
              </w:rPr>
              <w:t>Feature</w:t>
            </w:r>
          </w:p>
        </w:tc>
        <w:tc>
          <w:tcPr>
            <w:tcW w:type="dxa" w:w="4320"/>
            <w:shd w:val="clear" w:fill="1F4E79"/>
          </w:tcPr>
          <w:p>
            <w:r>
              <w:rPr>
                <w:b/>
                <w:color w:val="FFFFFF"/>
                <w:sz w:val="19"/>
              </w:rPr>
              <w:t>Merits Review (MR)</w:t>
            </w:r>
          </w:p>
        </w:tc>
        <w:tc>
          <w:tcPr>
            <w:tcW w:type="dxa" w:w="4320"/>
            <w:shd w:val="clear" w:fill="1F4E79"/>
          </w:tcPr>
          <w:p>
            <w:r>
              <w:rPr>
                <w:b/>
                <w:color w:val="FFFFFF"/>
                <w:sz w:val="19"/>
              </w:rPr>
              <w:t>Judicial Review (JR)</w:t>
            </w:r>
          </w:p>
        </w:tc>
      </w:tr>
      <w:tr>
        <w:tc>
          <w:tcPr>
            <w:tcW w:type="dxa" w:w="2160"/>
          </w:tcPr>
          <w:p>
            <w:r>
              <w:rPr>
                <w:sz w:val="19"/>
              </w:rPr>
              <w:t>Question asked</w:t>
            </w:r>
          </w:p>
        </w:tc>
        <w:tc>
          <w:tcPr>
            <w:tcW w:type="dxa" w:w="4320"/>
          </w:tcPr>
          <w:p>
            <w:r>
              <w:rPr>
                <w:sz w:val="19"/>
              </w:rPr>
              <w:t>Correct or preferable decision?</w:t>
            </w:r>
          </w:p>
        </w:tc>
        <w:tc>
          <w:tcPr>
            <w:tcW w:type="dxa" w:w="4320"/>
          </w:tcPr>
          <w:p>
            <w:r>
              <w:rPr>
                <w:sz w:val="19"/>
              </w:rPr>
              <w:t>Was the decision lawful?</w:t>
            </w:r>
          </w:p>
        </w:tc>
      </w:tr>
      <w:tr>
        <w:tc>
          <w:tcPr>
            <w:tcW w:type="dxa" w:w="2160"/>
          </w:tcPr>
          <w:p>
            <w:r>
              <w:rPr>
                <w:sz w:val="19"/>
              </w:rPr>
              <w:t>Decision-maker</w:t>
            </w:r>
          </w:p>
        </w:tc>
        <w:tc>
          <w:tcPr>
            <w:tcW w:type="dxa" w:w="4320"/>
          </w:tcPr>
          <w:p>
            <w:r>
              <w:rPr>
                <w:sz w:val="19"/>
              </w:rPr>
              <w:t>Tribunal (VCAT / ART) — executive</w:t>
            </w:r>
          </w:p>
        </w:tc>
        <w:tc>
          <w:tcPr>
            <w:tcW w:type="dxa" w:w="4320"/>
          </w:tcPr>
          <w:p>
            <w:r>
              <w:rPr>
                <w:sz w:val="19"/>
              </w:rPr>
              <w:t>Court (Supreme Court / Federal Court / HCA)</w:t>
            </w:r>
          </w:p>
        </w:tc>
      </w:tr>
      <w:tr>
        <w:tc>
          <w:tcPr>
            <w:tcW w:type="dxa" w:w="2160"/>
          </w:tcPr>
          <w:p>
            <w:r>
              <w:rPr>
                <w:sz w:val="19"/>
              </w:rPr>
              <w:t>Source of power</w:t>
            </w:r>
          </w:p>
        </w:tc>
        <w:tc>
          <w:tcPr>
            <w:tcW w:type="dxa" w:w="4320"/>
          </w:tcPr>
          <w:p>
            <w:r>
              <w:rPr>
                <w:sz w:val="19"/>
              </w:rPr>
              <w:t>Enabling Act must expressly confer it (VCAT Act s 42(1))</w:t>
            </w:r>
          </w:p>
        </w:tc>
        <w:tc>
          <w:tcPr>
            <w:tcW w:type="dxa" w:w="4320"/>
          </w:tcPr>
          <w:p>
            <w:r>
              <w:rPr>
                <w:sz w:val="19"/>
              </w:rPr>
              <w:t>Inherent/constitutional; cannot be ousted (Kirk; s 75(v))</w:t>
            </w:r>
          </w:p>
        </w:tc>
      </w:tr>
      <w:tr>
        <w:tc>
          <w:tcPr>
            <w:tcW w:type="dxa" w:w="2160"/>
          </w:tcPr>
          <w:p>
            <w:r>
              <w:rPr>
                <w:sz w:val="19"/>
              </w:rPr>
              <w:t>What it applies</w:t>
            </w:r>
          </w:p>
        </w:tc>
        <w:tc>
          <w:tcPr>
            <w:tcW w:type="dxa" w:w="4320"/>
          </w:tcPr>
          <w:p>
            <w:r>
              <w:rPr>
                <w:sz w:val="19"/>
              </w:rPr>
              <w:t>Same substantive statutory criteria as the decision-maker (Frugtniet)</w:t>
            </w:r>
          </w:p>
        </w:tc>
        <w:tc>
          <w:tcPr>
            <w:tcW w:type="dxa" w:w="4320"/>
          </w:tcPr>
          <w:p>
            <w:r>
              <w:rPr>
                <w:sz w:val="19"/>
              </w:rPr>
              <w:t>Grounds of review (legality limits only)</w:t>
            </w:r>
          </w:p>
        </w:tc>
      </w:tr>
      <w:tr>
        <w:tc>
          <w:tcPr>
            <w:tcW w:type="dxa" w:w="2160"/>
          </w:tcPr>
          <w:p>
            <w:r>
              <w:rPr>
                <w:sz w:val="19"/>
              </w:rPr>
              <w:t>Evidence</w:t>
            </w:r>
          </w:p>
        </w:tc>
        <w:tc>
          <w:tcPr>
            <w:tcW w:type="dxa" w:w="4320"/>
          </w:tcPr>
          <w:p>
            <w:r>
              <w:rPr>
                <w:sz w:val="19"/>
              </w:rPr>
              <w:t>Best and most current, at time of review (Shi)</w:t>
            </w:r>
          </w:p>
        </w:tc>
        <w:tc>
          <w:tcPr>
            <w:tcW w:type="dxa" w:w="4320"/>
          </w:tcPr>
          <w:p>
            <w:r>
              <w:rPr>
                <w:sz w:val="19"/>
              </w:rPr>
              <w:t>Generally the record before the decision-maker</w:t>
            </w:r>
          </w:p>
        </w:tc>
      </w:tr>
      <w:tr>
        <w:tc>
          <w:tcPr>
            <w:tcW w:type="dxa" w:w="2160"/>
          </w:tcPr>
          <w:p>
            <w:r>
              <w:rPr>
                <w:sz w:val="19"/>
              </w:rPr>
              <w:t>Powers / outcome</w:t>
            </w:r>
          </w:p>
        </w:tc>
        <w:tc>
          <w:tcPr>
            <w:tcW w:type="dxa" w:w="4320"/>
          </w:tcPr>
          <w:p>
            <w:r>
              <w:rPr>
                <w:sz w:val="19"/>
              </w:rPr>
              <w:t>Affirm, vary, or set aside and substitute (VCAT Act s 51(2))</w:t>
            </w:r>
          </w:p>
        </w:tc>
        <w:tc>
          <w:tcPr>
            <w:tcW w:type="dxa" w:w="4320"/>
          </w:tcPr>
          <w:p>
            <w:r>
              <w:rPr>
                <w:sz w:val="19"/>
              </w:rPr>
              <w:t>Quash and remit; cannot substitute the decision</w:t>
            </w:r>
          </w:p>
        </w:tc>
      </w:tr>
      <w:tr>
        <w:tc>
          <w:tcPr>
            <w:tcW w:type="dxa" w:w="2160"/>
          </w:tcPr>
          <w:p>
            <w:r>
              <w:rPr>
                <w:sz w:val="19"/>
              </w:rPr>
              <w:t>Standing</w:t>
            </w:r>
          </w:p>
        </w:tc>
        <w:tc>
          <w:tcPr>
            <w:tcW w:type="dxa" w:w="4320"/>
          </w:tcPr>
          <w:p>
            <w:r>
              <w:rPr>
                <w:sz w:val="19"/>
              </w:rPr>
              <w:t>As defined by the enabling Act (VCAT Act s 48)</w:t>
            </w:r>
          </w:p>
        </w:tc>
        <w:tc>
          <w:tcPr>
            <w:tcW w:type="dxa" w:w="4320"/>
          </w:tcPr>
          <w:p>
            <w:r>
              <w:rPr>
                <w:sz w:val="19"/>
              </w:rPr>
              <w:t>Sufficient/special interest (ACF; Onus; Argos)</w:t>
            </w:r>
          </w:p>
        </w:tc>
      </w:tr>
      <w:tr>
        <w:tc>
          <w:tcPr>
            <w:tcW w:type="dxa" w:w="2160"/>
          </w:tcPr>
          <w:p>
            <w:r>
              <w:rPr>
                <w:sz w:val="19"/>
              </w:rPr>
              <w:t>Cost / access</w:t>
            </w:r>
          </w:p>
        </w:tc>
        <w:tc>
          <w:tcPr>
            <w:tcW w:type="dxa" w:w="4320"/>
          </w:tcPr>
          <w:p>
            <w:r>
              <w:rPr>
                <w:sz w:val="19"/>
              </w:rPr>
              <w:t>Low or no fee; self-rep friendly</w:t>
            </w:r>
          </w:p>
        </w:tc>
        <w:tc>
          <w:tcPr>
            <w:tcW w:type="dxa" w:w="4320"/>
          </w:tcPr>
          <w:p>
            <w:r>
              <w:rPr>
                <w:sz w:val="19"/>
              </w:rPr>
              <w:t>Court fees + adverse-costs risk</w:t>
            </w:r>
          </w:p>
        </w:tc>
      </w:tr>
      <w:tr>
        <w:tc>
          <w:tcPr>
            <w:tcW w:type="dxa" w:w="2160"/>
          </w:tcPr>
          <w:p>
            <w:r>
              <w:rPr>
                <w:sz w:val="19"/>
              </w:rPr>
              <w:t>Leading cases</w:t>
            </w:r>
          </w:p>
        </w:tc>
        <w:tc>
          <w:tcPr>
            <w:tcW w:type="dxa" w:w="4320"/>
          </w:tcPr>
          <w:p>
            <w:r>
              <w:rPr>
                <w:sz w:val="19"/>
              </w:rPr>
              <w:t>Drake (No 1 &amp; 2); Shi; Frugtniet</w:t>
            </w:r>
          </w:p>
        </w:tc>
        <w:tc>
          <w:tcPr>
            <w:tcW w:type="dxa" w:w="4320"/>
          </w:tcPr>
          <w:p>
            <w:r>
              <w:rPr>
                <w:sz w:val="19"/>
              </w:rPr>
              <w:t>Kirk; S157; Project Blue Sky; LPDT; Li; Kioa; etc.</w:t>
            </w:r>
          </w:p>
        </w:tc>
      </w:tr>
    </w:tbl>
    <w:p>
      <w:pPr>
        <w:spacing w:before="200"/>
      </w:pPr>
      <w:r>
        <w:rPr>
          <w:i/>
          <w:color w:val="595959"/>
          <w:sz w:val="20"/>
        </w:rPr>
        <w:t>Bottom line: choose by the client’s goal — MR to change the outcome, JR to challenge the legality — and, where both are open, run MR first and keep JR in reserve, including against the tribunal’s own decision.</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r>
    <w:r>
      <w:rPr>
        <w:color w:val="595959"/>
        <w:sz w:val="16"/>
      </w:rPr>
      <w:instrText xml:space="preserve">PAGE</w:instrTex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6"/>
      </w:rPr>
      <w:t>Administrative Law — Combined MR + JR Answer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