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62713C">
      <w:pPr>
        <w:pStyle w:val="23"/>
        <w:numPr>
          <w:numId w:val="0"/>
        </w:numPr>
        <w:ind w:leftChars="0"/>
        <w:rPr>
          <w:rFonts w:hint="default"/>
          <w:lang w:val="en-AU"/>
        </w:rPr>
      </w:pPr>
      <w:r>
        <w:rPr>
          <w:rFonts w:hint="default"/>
          <w:lang w:val="en-AU"/>
        </w:rPr>
        <w:t xml:space="preserve">We should further progress the following ideas to improve our service. </w:t>
      </w:r>
    </w:p>
    <w:p w14:paraId="3D8F704A">
      <w:pPr>
        <w:pStyle w:val="23"/>
        <w:numPr>
          <w:numId w:val="0"/>
        </w:numPr>
        <w:ind w:leftChars="0"/>
        <w:rPr>
          <w:rFonts w:hint="default"/>
          <w:lang w:val="en-AU"/>
        </w:rPr>
      </w:pPr>
    </w:p>
    <w:p w14:paraId="24B79E80">
      <w:pPr>
        <w:pStyle w:val="23"/>
      </w:pPr>
      <w:r>
        <w:rPr>
          <w:b/>
        </w:rPr>
        <w:t>Phase 1 — Ship Idea 3 (Adaptive IRAC).</w:t>
      </w:r>
      <w:r>
        <w:t xml:space="preserve"> Already built; total founder–market fit; near-zero regulatory risk; captive seasonal market. Generates early revenue and a reference product while we harden the engine and the verified-citation corpus.</w:t>
      </w:r>
    </w:p>
    <w:p w14:paraId="793FFFCC">
      <w:pPr>
        <w:pStyle w:val="23"/>
      </w:pPr>
      <w:r>
        <w:rPr>
          <w:b/>
        </w:rPr>
        <w:t>Phase 2 — Idea 2 (Grounds Analyser).</w:t>
      </w:r>
      <w:r>
        <w:t xml:space="preserve"> The B2B revenue engine; same engine, with the anti-hallucination corpus as the differentiator the market is demanding post-Re Dayal.</w:t>
      </w:r>
    </w:p>
    <w:p w14:paraId="1522E975">
      <w:pPr>
        <w:pStyle w:val="23"/>
      </w:pPr>
      <w:r>
        <w:rPr>
          <w:b/>
        </w:rPr>
        <w:t>Phase 3 — Idea 1 (Merits-Review Navigator).</w:t>
      </w:r>
      <w:r>
        <w:t xml:space="preserve"> The access-to-justice flagship and grant/impact play, once the engine and the ‘information-not-advice’ guardrails are proven; Idea 5 (FOI &amp; Reasons) is a low-risk wedge that can ship alongside.</w:t>
      </w:r>
    </w:p>
    <w:p w14:paraId="225A57A0">
      <w:pPr>
        <w:pStyle w:val="23"/>
        <w:numPr>
          <w:numId w:val="0"/>
        </w:numPr>
        <w:spacing w:after="120" w:line="276" w:lineRule="auto"/>
        <w:contextualSpacing/>
      </w:pPr>
    </w:p>
    <w:p w14:paraId="25B48932">
      <w:pPr>
        <w:pStyle w:val="23"/>
        <w:numPr>
          <w:numId w:val="0"/>
        </w:numPr>
        <w:spacing w:after="120" w:line="276" w:lineRule="auto"/>
        <w:contextualSpacing/>
        <w:rPr>
          <w:rFonts w:hint="default"/>
          <w:lang w:val="en-AU"/>
        </w:rPr>
      </w:pPr>
      <w:r>
        <w:rPr>
          <w:rFonts w:hint="default"/>
          <w:lang w:val="en-AU"/>
        </w:rPr>
        <w:t>You can find more details below.</w:t>
      </w:r>
    </w:p>
    <w:p w14:paraId="6E778B9F">
      <w:pPr>
        <w:pStyle w:val="23"/>
        <w:numPr>
          <w:numId w:val="0"/>
        </w:numPr>
        <w:spacing w:after="120" w:line="276" w:lineRule="auto"/>
        <w:contextualSpacing/>
        <w:rPr>
          <w:rFonts w:hint="default"/>
          <w:lang w:val="en-AU"/>
        </w:rPr>
      </w:pPr>
    </w:p>
    <w:p w14:paraId="624DCD41">
      <w:pPr>
        <w:pStyle w:val="23"/>
        <w:numPr>
          <w:numId w:val="0"/>
        </w:numPr>
        <w:spacing w:after="120" w:line="276" w:lineRule="auto"/>
        <w:contextualSpacing/>
        <w:rPr>
          <w:rFonts w:hint="default"/>
          <w:lang w:val="en-AU"/>
        </w:rPr>
      </w:pPr>
      <w:bookmarkStart w:id="0" w:name="_GoBack"/>
      <w:bookmarkEnd w:id="0"/>
    </w:p>
    <w:p w14:paraId="5A59F2E0">
      <w:pPr>
        <w:spacing w:before="1800"/>
        <w:jc w:val="center"/>
        <w:rPr>
          <w:b/>
          <w:color w:val="1F4E79"/>
          <w:sz w:val="48"/>
        </w:rPr>
      </w:pPr>
    </w:p>
    <w:p w14:paraId="22B7DF91">
      <w:pPr>
        <w:spacing w:before="1800"/>
        <w:jc w:val="center"/>
        <w:rPr>
          <w:b/>
          <w:color w:val="1F4E79"/>
          <w:sz w:val="48"/>
        </w:rPr>
      </w:pPr>
    </w:p>
    <w:p w14:paraId="39D49918">
      <w:pPr>
        <w:spacing w:before="1800"/>
        <w:jc w:val="center"/>
        <w:rPr>
          <w:b/>
          <w:color w:val="1F4E79"/>
          <w:sz w:val="48"/>
        </w:rPr>
      </w:pPr>
    </w:p>
    <w:p w14:paraId="1BFF9897">
      <w:pPr>
        <w:spacing w:before="1800"/>
        <w:jc w:val="center"/>
        <w:rPr>
          <w:b/>
          <w:color w:val="1F4E79"/>
          <w:sz w:val="48"/>
        </w:rPr>
      </w:pPr>
    </w:p>
    <w:p w14:paraId="5E1A23AB">
      <w:pPr>
        <w:spacing w:before="1800"/>
        <w:jc w:val="center"/>
        <w:rPr>
          <w:b/>
          <w:color w:val="1F4E79"/>
          <w:sz w:val="48"/>
        </w:rPr>
      </w:pPr>
    </w:p>
    <w:p w14:paraId="0FD67DAD">
      <w:pPr>
        <w:spacing w:before="1800"/>
        <w:jc w:val="center"/>
      </w:pPr>
      <w:r>
        <w:rPr>
          <w:b/>
          <w:color w:val="1F4E79"/>
          <w:sz w:val="48"/>
        </w:rPr>
        <w:t>FROM EXAM PREP TO VENTURE</w:t>
      </w:r>
    </w:p>
    <w:p w14:paraId="1FF78D62">
      <w:pPr>
        <w:jc w:val="center"/>
      </w:pPr>
      <w:r>
        <w:rPr>
          <w:color w:val="595959"/>
          <w:sz w:val="26"/>
        </w:rPr>
        <w:t>Eight ways to turn an administrative-law reasoning engine into access to justice, productivity and revenue</w:t>
      </w:r>
    </w:p>
    <w:p w14:paraId="281744E4">
      <w:pPr>
        <w:spacing w:before="160"/>
        <w:jc w:val="center"/>
      </w:pPr>
      <w:r>
        <w:rPr>
          <w:b/>
          <w:sz w:val="22"/>
        </w:rPr>
        <w:t>Australian market · Concept brief for product–market-fit review</w:t>
      </w:r>
    </w:p>
    <w:p w14:paraId="5B671E71">
      <w:pPr>
        <w:spacing w:before="600"/>
        <w:jc w:val="center"/>
      </w:pPr>
      <w:r>
        <w:rPr>
          <w:i/>
          <w:color w:val="595959"/>
          <w:sz w:val="18"/>
        </w:rPr>
        <w:t>Prepared for Raymond · 8 June 2026 · Research-backed; for discussion, not yet implementation</w:t>
      </w:r>
    </w:p>
    <w:p w14:paraId="7A8A6084">
      <w:r>
        <w:br w:type="page"/>
      </w:r>
    </w:p>
    <w:p w14:paraId="68CB56A5">
      <w:pPr>
        <w:pBdr>
          <w:bottom w:val="single" w:color="1F4E79" w:sz="8" w:space="4"/>
        </w:pBdr>
      </w:pPr>
      <w:r>
        <w:rPr>
          <w:b/>
          <w:color w:val="1F4E79"/>
          <w:sz w:val="32"/>
        </w:rPr>
        <w:t>Executive Summary</w:t>
      </w:r>
    </w:p>
    <w:p w14:paraId="36793D26">
      <w:pPr>
        <w:jc w:val="both"/>
      </w:pPr>
      <w:r>
        <w:t xml:space="preserve">Across this project we built something more valuable than a set of exam answers: a </w:t>
      </w:r>
      <w:r>
        <w:rPr>
          <w:b/>
        </w:rPr>
        <w:t>structured administrative-law reasoning engine</w:t>
      </w:r>
      <w:r>
        <w:t xml:space="preserve"> that (1) maps a set of facts to the recognised grounds of judicial review, (2) writes disciplined IRAC analysis with counter-arguments and a reasoned conclusion, (3) generates and answers realistic hypotheticals, and (4) — the decisive feature — </w:t>
      </w:r>
      <w:r>
        <w:rPr>
          <w:b/>
        </w:rPr>
        <w:t>cites only from a closed, verified corpus</w:t>
      </w:r>
      <w:r>
        <w:t xml:space="preserve">, with every citation pinpointed and checked. That last capability is not a nicety: hallucinated citations are the defining failure of legal AI in Australia right now (a solicitor was sanctioned in the matter known as *Re Dayal*, and courts in the Federal, NSW, Victorian and Queensland jurisdictions have issued AI practice notes). A reasoning engine that is correct </w:t>
      </w:r>
      <w:r>
        <w:rPr>
          <w:b/>
        </w:rPr>
        <w:t>and</w:t>
      </w:r>
      <w:r>
        <w:t xml:space="preserve"> verifiable is the moat.</w:t>
      </w:r>
    </w:p>
    <w:p w14:paraId="74E640E9">
      <w:pPr>
        <w:jc w:val="both"/>
      </w:pPr>
      <w:r>
        <w:t xml:space="preserve">This brief sets out </w:t>
      </w:r>
      <w:r>
        <w:rPr>
          <w:b/>
        </w:rPr>
        <w:t>eight venture concepts</w:t>
      </w:r>
      <w:r>
        <w:t xml:space="preserve"> that deploy that engine against three objectives at once — widening access to justice, lifting productivity, and generating revenue. They are organised as five core products and three larger, more ambitious plays. The recommended strategy is a </w:t>
      </w:r>
      <w:r>
        <w:rPr>
          <w:b/>
        </w:rPr>
        <w:t>single engine, three customer segments, sequenced by risk</w:t>
      </w:r>
      <w:r>
        <w:t>: students first (lowest risk, fastest revenue, total founder–market fit), then practitioners (the B2B revenue engine), then the public (the access-to-justice flagship), with the bigger infrastructure and systemic plays layered on once the core is proven.</w:t>
      </w:r>
    </w:p>
    <w:p w14:paraId="028E0842">
      <w:pPr>
        <w:jc w:val="both"/>
      </w:pPr>
      <w:r>
        <w:rPr>
          <w:b/>
        </w:rPr>
        <w:t>Why now, and why Australia.</w:t>
      </w:r>
      <w:r>
        <w:t xml:space="preserve"> The demand wall is large and widening: the new Administrative Review Tribunal had </w:t>
      </w:r>
      <w:r>
        <w:rPr>
          <w:b/>
        </w:rPr>
        <w:t>112,591 cases on hand</w:t>
      </w:r>
      <w:r>
        <w:t xml:space="preserve"> at 30 June 2025 (only 47% finalised within 12 months); NCAT runs ~71,000 applications a year and VCAT ~80,000, and these venues are self-represented by design. Legal aid means-tests reach only ~8% of households, leaving a vast ‘missing middle’. And there is genuine white space — no prominent Australian product focuses on administrative-law self-help. The regulatory path is well-marked: ‘legal information’ is unregulated; tailored ‘legal advice’ is restricted; the proven model keeps a human lawyer in the loop.</w:t>
      </w:r>
    </w:p>
    <w:p w14:paraId="1B38C925">
      <w:r>
        <w:br w:type="page"/>
      </w:r>
    </w:p>
    <w:p w14:paraId="2109501E">
      <w:pPr>
        <w:pBdr>
          <w:bottom w:val="single" w:color="1F4E79" w:sz="8" w:space="4"/>
        </w:pBdr>
      </w:pPr>
      <w:r>
        <w:rPr>
          <w:b/>
          <w:color w:val="1F4E79"/>
          <w:sz w:val="32"/>
        </w:rPr>
        <w:t>The Market in Numbers</w:t>
      </w:r>
    </w:p>
    <w:p w14:paraId="1842D623">
      <w:pPr>
        <w:pStyle w:val="23"/>
      </w:pPr>
      <w:r>
        <w:rPr>
          <w:b/>
        </w:rPr>
        <w:t>Unmet need:</w:t>
      </w:r>
      <w:r>
        <w:t xml:space="preserve"> roughly half the population has a civil legal problem each year; ‘dealing with government’ is among the most common categories. Legal aid covers ~8% of households; &gt;13% live below the poverty line — the ‘missing middle’ cannot buy a lawyer (Productivity Commission 2014; Law Council 2018/2021).</w:t>
      </w:r>
    </w:p>
    <w:p w14:paraId="0E983937">
      <w:pPr>
        <w:pStyle w:val="23"/>
      </w:pPr>
      <w:r>
        <w:rPr>
          <w:b/>
        </w:rPr>
        <w:t>Tribunal demand:</w:t>
      </w:r>
      <w:r>
        <w:t xml:space="preserve"> ART 112,591 cases on hand (30 Jun 2025), 85,845 lodged in the partial year, migration ~58% of lodgements, NDIS and social security large and growing; NCAT ~71,000 applications/yr; VCAT ~80,000 — overwhelmingly self-represented (tribunal annual reports 2023-25).</w:t>
      </w:r>
    </w:p>
    <w:p w14:paraId="32B04192">
      <w:pPr>
        <w:pStyle w:val="23"/>
      </w:pPr>
      <w:r>
        <w:rPr>
          <w:b/>
        </w:rPr>
        <w:t>Cost wall:</w:t>
      </w:r>
      <w:r>
        <w:t xml:space="preserve"> merits review is low/no-fee, but judicial review in the Federal or a State Supreme Court runs to five figures plus adverse-costs risk — out of reach for individuals (Federal Court costs guidance).</w:t>
      </w:r>
    </w:p>
    <w:p w14:paraId="5A06E31C">
      <w:pPr>
        <w:pStyle w:val="23"/>
      </w:pPr>
      <w:r>
        <w:rPr>
          <w:b/>
        </w:rPr>
        <w:t>Trust gap in legal AI:</w:t>
      </w:r>
      <w:r>
        <w:t xml:space="preserve"> hallucinated citations have led to sanctions (e.g. *Re Dayal*) and AI practice notes across Australian courts; AustLII and Jade are the trusted primary sources but are not packaged as structured, citation-verified, machine-readable infrastructure.</w:t>
      </w:r>
    </w:p>
    <w:p w14:paraId="02333DBE">
      <w:pPr>
        <w:pStyle w:val="23"/>
      </w:pPr>
      <w:r>
        <w:rPr>
          <w:b/>
        </w:rPr>
        <w:t>Systemic risk is real and expensive:</w:t>
      </w:r>
      <w:r>
        <w:t xml:space="preserve"> the Robodebt scheme raised ~$1.76bn in unlawful debts against ~433,000 people (794,000 false debts) and took years to surface — a 2023 Royal Commission followed. Australia files roughly one class action a week; the litigation-funding market turned over ~A$199m in 2023-24.</w:t>
      </w:r>
    </w:p>
    <w:p w14:paraId="0A70C3C8">
      <w:pPr>
        <w:pStyle w:val="23"/>
      </w:pPr>
      <w:r>
        <w:rPr>
          <w:b/>
        </w:rPr>
        <w:t>Proven overseas models:</w:t>
      </w:r>
      <w:r>
        <w:t xml:space="preserve"> Quebec’s JusticeBot (18,000+ uses) shows admin-law self-help works on the ‘information not advice’ model; British Columbia’s Civil Resolution Tribunal moved ~15,000 disputes/yr online — proof that ODR and tribunal-tech scale.</w:t>
      </w:r>
    </w:p>
    <w:p w14:paraId="015D2C18">
      <w:r>
        <w:br w:type="page"/>
      </w:r>
    </w:p>
    <w:p w14:paraId="0637BE50">
      <w:pPr>
        <w:pBdr>
          <w:bottom w:val="single" w:color="1F4E79" w:sz="8" w:space="4"/>
        </w:pBdr>
      </w:pPr>
      <w:r>
        <w:rPr>
          <w:b/>
          <w:color w:val="1F4E79"/>
          <w:sz w:val="32"/>
        </w:rPr>
        <w:t>Part A — The Five Core Products</w:t>
      </w:r>
    </w:p>
    <w:p w14:paraId="52866D11">
      <w:pPr>
        <w:spacing w:before="200"/>
      </w:pPr>
      <w:r>
        <w:rPr>
          <w:b/>
          <w:color w:val="1F4E79"/>
          <w:sz w:val="26"/>
        </w:rPr>
        <w:t>1. ‘Merits-Review Navigator’ — admin-law self-help for the public (access-to-justice flagship)</w:t>
      </w:r>
    </w:p>
    <w:p w14:paraId="53DB187A">
      <w:pPr>
        <w:spacing w:before="160"/>
      </w:pPr>
      <w:r>
        <w:rPr>
          <w:b/>
          <w:sz w:val="23"/>
        </w:rPr>
        <w:t>Market need</w:t>
      </w:r>
    </w:p>
    <w:p w14:paraId="74DEFFC6">
      <w:pPr>
        <w:jc w:val="both"/>
      </w:pPr>
      <w:r>
        <w:t>Hundreds of thousands of self-represented people a year face a government decision (Centrelink/NDIS/visa/FOI/council) and don’t know if they have grounds, which body to use, the deadline, or how to frame it. Quebec’s JusticeBot proves the model on an ‘information, not advice’ basis.</w:t>
      </w:r>
    </w:p>
    <w:p w14:paraId="281A4FF7">
      <w:pPr>
        <w:spacing w:before="160"/>
      </w:pPr>
      <w:r>
        <w:rPr>
          <w:b/>
          <w:sz w:val="23"/>
        </w:rPr>
        <w:t>The product</w:t>
      </w:r>
    </w:p>
    <w:p w14:paraId="56A77071">
      <w:pPr>
        <w:jc w:val="both"/>
      </w:pPr>
      <w:r>
        <w:t>A guided pathway: describe the decision → the engine identifies the review body and deadline, runs the grounds checklist in plain English, surfaces relevant published decisions, and produces a ‘what to do next’ pack and a draft submission skeleton. No outcome prediction; always routes the advice step to a CLC/lawyer.</w:t>
      </w:r>
    </w:p>
    <w:p w14:paraId="26D3B020">
      <w:pPr>
        <w:spacing w:before="160"/>
      </w:pPr>
      <w:r>
        <w:rPr>
          <w:b/>
          <w:sz w:val="23"/>
        </w:rPr>
        <w:t>Why us / product–market fit</w:t>
      </w:r>
    </w:p>
    <w:p w14:paraId="4645F2C2">
      <w:pPr>
        <w:jc w:val="both"/>
      </w:pPr>
      <w:r>
        <w:t>We already have the grounds engine, the materiality/breach logic and the Charter overlay. Start with one high-volume, sympathetic vertical (NDIS or social security) to nail PMF before expanding.</w:t>
      </w:r>
    </w:p>
    <w:p w14:paraId="52BBFC4F">
      <w:pPr>
        <w:spacing w:before="160"/>
      </w:pPr>
      <w:r>
        <w:rPr>
          <w:b/>
          <w:sz w:val="23"/>
        </w:rPr>
        <w:t>Monetisation</w:t>
      </w:r>
    </w:p>
    <w:p w14:paraId="08C6AECC">
      <w:pPr>
        <w:jc w:val="both"/>
      </w:pPr>
      <w:r>
        <w:t>Freemium for individuals (free triage; ~$20–40 document packs/deadline tracking); grants/commissions from Legal Aid and CLCs; white-label to disability and migration advocacy bodies.</w:t>
      </w:r>
    </w:p>
    <w:p w14:paraId="478A476A">
      <w:pPr>
        <w:spacing w:before="160"/>
      </w:pPr>
      <w:r>
        <w:rPr>
          <w:b/>
          <w:sz w:val="23"/>
        </w:rPr>
        <w:t>Key risk</w:t>
      </w:r>
    </w:p>
    <w:p w14:paraId="73D07842">
      <w:pPr>
        <w:jc w:val="both"/>
      </w:pPr>
      <w:r>
        <w:t>Unauthorised practice of law — mitigate by staying on the information side, no outcome prediction, clear disclaimers and human referral.</w:t>
      </w:r>
    </w:p>
    <w:p w14:paraId="6558E27B">
      <w:pPr>
        <w:spacing w:before="200"/>
      </w:pPr>
      <w:r>
        <w:rPr>
          <w:b/>
          <w:color w:val="1F4E79"/>
          <w:sz w:val="26"/>
        </w:rPr>
        <w:t>2. ‘Grounds Analyser’ — productivity tool for lawyers, migration agents, advocates and CLCs (revenue engine)</w:t>
      </w:r>
    </w:p>
    <w:p w14:paraId="3856A6C8">
      <w:pPr>
        <w:spacing w:before="160"/>
      </w:pPr>
      <w:r>
        <w:rPr>
          <w:b/>
          <w:sz w:val="23"/>
        </w:rPr>
        <w:t>Market need</w:t>
      </w:r>
    </w:p>
    <w:p w14:paraId="53BD69B0">
      <w:pPr>
        <w:jc w:val="both"/>
      </w:pPr>
      <w:r>
        <w:t>Small firms, migration-review practitioners and CLC caseworkers repeat the same task constantly — read a decision + reasons + statute and identify arguable grounds — and distrust AI that could speed it up because of hallucination (the Re Dayal problem).</w:t>
      </w:r>
    </w:p>
    <w:p w14:paraId="7D7A4505">
      <w:pPr>
        <w:spacing w:before="160"/>
      </w:pPr>
      <w:r>
        <w:rPr>
          <w:b/>
          <w:sz w:val="23"/>
        </w:rPr>
        <w:t>The product</w:t>
      </w:r>
    </w:p>
    <w:p w14:paraId="6584D712">
      <w:pPr>
        <w:jc w:val="both"/>
      </w:pPr>
      <w:r>
        <w:t>Paste the decision, reasons and Act; the engine runs the full grounds matrix, flags the strongest grounds with counter-arguments and a materiality/breach analysis, and drafts a skeleton — citing only from a verified, closed case corpus, every cite pinpointed and source-linked. The Cat Act engine, generalised.</w:t>
      </w:r>
    </w:p>
    <w:p w14:paraId="1F11635F">
      <w:pPr>
        <w:spacing w:before="160"/>
      </w:pPr>
      <w:r>
        <w:rPr>
          <w:b/>
          <w:sz w:val="23"/>
        </w:rPr>
        <w:t>Why us / product–market fit</w:t>
      </w:r>
    </w:p>
    <w:p w14:paraId="7EB01B75">
      <w:pPr>
        <w:jc w:val="both"/>
      </w:pPr>
      <w:r>
        <w:t>The cite-only-from-verified-sources design is exactly what the post-Re Dayal market is asking for; B2B legal SaaS sells into a heavily small/sole-practitioner profession (~97,500 solicitors).</w:t>
      </w:r>
    </w:p>
    <w:p w14:paraId="736AB758">
      <w:pPr>
        <w:spacing w:before="160"/>
      </w:pPr>
      <w:r>
        <w:rPr>
          <w:b/>
          <w:sz w:val="23"/>
        </w:rPr>
        <w:t>Monetisation</w:t>
      </w:r>
    </w:p>
    <w:p w14:paraId="5EF93E30">
      <w:pPr>
        <w:jc w:val="both"/>
      </w:pPr>
      <w:r>
        <w:t>Per-seat SaaS (benchmark ~$30–140/user/month) with a firm tier; strong willingness to pay because it saves billable hours and reduces professional-indemnity and disciplinary risk.</w:t>
      </w:r>
    </w:p>
    <w:p w14:paraId="0B51CCF8">
      <w:pPr>
        <w:spacing w:before="160"/>
      </w:pPr>
      <w:r>
        <w:rPr>
          <w:b/>
          <w:sz w:val="23"/>
        </w:rPr>
        <w:t>Key risk</w:t>
      </w:r>
    </w:p>
    <w:p w14:paraId="64D9BA6B">
      <w:pPr>
        <w:jc w:val="both"/>
      </w:pPr>
      <w:r>
        <w:t>The lawyer’s duty to verify stays theirs — sell that as a feature (every cite is source-linked); comply with court AI practice notes for filed material.</w:t>
      </w:r>
    </w:p>
    <w:p w14:paraId="50757093">
      <w:pPr>
        <w:spacing w:before="200"/>
      </w:pPr>
      <w:r>
        <w:rPr>
          <w:b/>
          <w:color w:val="1F4E79"/>
          <w:sz w:val="26"/>
        </w:rPr>
        <w:t>3. ‘Adaptive IRAC’ — law-student &amp; PLT exam-prep platform (lowest risk, fastest to ship, total founder–market fit)</w:t>
      </w:r>
    </w:p>
    <w:p w14:paraId="7340BC0D">
      <w:pPr>
        <w:spacing w:before="160"/>
      </w:pPr>
      <w:r>
        <w:rPr>
          <w:b/>
          <w:sz w:val="23"/>
        </w:rPr>
        <w:t>Market need</w:t>
      </w:r>
    </w:p>
    <w:p w14:paraId="78F36148">
      <w:pPr>
        <w:jc w:val="both"/>
      </w:pPr>
      <w:r>
        <w:t>~15,000 law students enrol each year; PLT is a near-universal paid step; admin law is hard and local study aids are thin. This is literally the product we just built — hypothetical generation, model IRAC, pinpoint citations to the student’s own materials, time-budgeting, and feedback.</w:t>
      </w:r>
    </w:p>
    <w:p w14:paraId="405118DD">
      <w:pPr>
        <w:spacing w:before="160"/>
      </w:pPr>
      <w:r>
        <w:rPr>
          <w:b/>
          <w:sz w:val="23"/>
        </w:rPr>
        <w:t>The product</w:t>
      </w:r>
    </w:p>
    <w:p w14:paraId="02BC2B7C">
      <w:pPr>
        <w:jc w:val="both"/>
      </w:pPr>
      <w:r>
        <w:t>Upload a subject’s cases/slides/notes → the engine generates practice hypotheticals and essays, produces model answers that cite ONLY the course’s permitted authorities (the allow-list feature — students are penalised for citing outside the syllabus), grades attempts and runs timed exam simulations.</w:t>
      </w:r>
    </w:p>
    <w:p w14:paraId="0FF7B1FA">
      <w:pPr>
        <w:spacing w:before="160"/>
      </w:pPr>
      <w:r>
        <w:rPr>
          <w:b/>
          <w:sz w:val="23"/>
        </w:rPr>
        <w:t>Why us / product–market fit</w:t>
      </w:r>
    </w:p>
    <w:p w14:paraId="356C048A">
      <w:pPr>
        <w:jc w:val="both"/>
      </w:pPr>
      <w:r>
        <w:t>Every component is already proven in this engagement. Education is low regulatory risk (information, not legal advice).</w:t>
      </w:r>
    </w:p>
    <w:p w14:paraId="2E208533">
      <w:pPr>
        <w:spacing w:before="160"/>
      </w:pPr>
      <w:r>
        <w:rPr>
          <w:b/>
          <w:sz w:val="23"/>
        </w:rPr>
        <w:t>Monetisation</w:t>
      </w:r>
    </w:p>
    <w:p w14:paraId="19AE363F">
      <w:pPr>
        <w:jc w:val="both"/>
      </w:pPr>
      <w:r>
        <w:t>B2C subscription (~$15–30/month, exam-season spikes); B2B licensing to law schools and PLT providers; expand subject-by-subject beyond admin law.</w:t>
      </w:r>
    </w:p>
    <w:p w14:paraId="136DC507">
      <w:pPr>
        <w:spacing w:before="160"/>
      </w:pPr>
      <w:r>
        <w:rPr>
          <w:b/>
          <w:sz w:val="23"/>
        </w:rPr>
        <w:t>Key risk</w:t>
      </w:r>
    </w:p>
    <w:p w14:paraId="21E4EEF8">
      <w:pPr>
        <w:jc w:val="both"/>
      </w:pPr>
      <w:r>
        <w:t>Low — main issue is academic-integrity positioning; sell as a study/practice tool with originality safeguards, not an answer generator for assessment.</w:t>
      </w:r>
    </w:p>
    <w:p w14:paraId="5E051649">
      <w:pPr>
        <w:spacing w:before="200"/>
      </w:pPr>
      <w:r>
        <w:rPr>
          <w:b/>
          <w:color w:val="1F4E79"/>
          <w:sz w:val="26"/>
        </w:rPr>
        <w:t>4. ‘Decision Shield’ — pre-issue JR compliance checker for government decision-makers (systemic, B2B gov)</w:t>
      </w:r>
    </w:p>
    <w:p w14:paraId="68FCB96A">
      <w:pPr>
        <w:spacing w:before="160"/>
      </w:pPr>
      <w:r>
        <w:rPr>
          <w:b/>
          <w:sz w:val="23"/>
        </w:rPr>
        <w:t>Market need</w:t>
      </w:r>
    </w:p>
    <w:p w14:paraId="1B6387F9">
      <w:pPr>
        <w:jc w:val="both"/>
      </w:pPr>
      <w:r>
        <w:t>Councils and agencies issue large volumes of reviewable decisions; a predictable share are quashed for avoidable errors (no reasons, ignored considerations, procedural unfairness, ultra vires, Vic Charter s 38). Every avoided unlawful decision is both a productivity and a justice win.</w:t>
      </w:r>
    </w:p>
    <w:p w14:paraId="7FB24D2C">
      <w:pPr>
        <w:spacing w:before="160"/>
      </w:pPr>
      <w:r>
        <w:rPr>
          <w:b/>
          <w:sz w:val="23"/>
        </w:rPr>
        <w:t>The product</w:t>
      </w:r>
    </w:p>
    <w:p w14:paraId="5FBB1482">
      <w:pPr>
        <w:jc w:val="both"/>
      </w:pPr>
      <w:r>
        <w:t>Before a decision issues, the officer runs the draft through a grounds-and-Charter checklist — reasons given? mandatory factors considered? within power/time? hearing afforded? — producing a defensibility score and a fix-list. Doubles as CPD content.</w:t>
      </w:r>
    </w:p>
    <w:p w14:paraId="68824F1F">
      <w:pPr>
        <w:spacing w:before="160"/>
      </w:pPr>
      <w:r>
        <w:rPr>
          <w:b/>
          <w:sz w:val="23"/>
        </w:rPr>
        <w:t>Why us / product–market fit</w:t>
      </w:r>
    </w:p>
    <w:p w14:paraId="28BF547A">
      <w:pPr>
        <w:jc w:val="both"/>
      </w:pPr>
      <w:r>
        <w:t>Same engine, pointed at prevention. Government buyers have budgets and a clear incentive to cut litigation losses and Ombudsman findings (22,720 complaints in 2024-25).</w:t>
      </w:r>
    </w:p>
    <w:p w14:paraId="44AF3F66">
      <w:pPr>
        <w:spacing w:before="160"/>
      </w:pPr>
      <w:r>
        <w:rPr>
          <w:b/>
          <w:sz w:val="23"/>
        </w:rPr>
        <w:t>Monetisation</w:t>
      </w:r>
    </w:p>
    <w:p w14:paraId="093FF9FB">
      <w:pPr>
        <w:jc w:val="both"/>
      </w:pPr>
      <w:r>
        <w:t>B2B SaaS / enterprise licences to councils and agencies; CPD and training packages.</w:t>
      </w:r>
    </w:p>
    <w:p w14:paraId="7D48903E">
      <w:pPr>
        <w:spacing w:before="160"/>
      </w:pPr>
      <w:r>
        <w:rPr>
          <w:b/>
          <w:sz w:val="23"/>
        </w:rPr>
        <w:t>Key risk</w:t>
      </w:r>
    </w:p>
    <w:p w14:paraId="4DEDB70B">
      <w:pPr>
        <w:jc w:val="both"/>
      </w:pPr>
      <w:r>
        <w:t>Long government procurement cycles; needs jurisdiction-specific statutory tuning per agency.</w:t>
      </w:r>
    </w:p>
    <w:p w14:paraId="756955A3">
      <w:pPr>
        <w:spacing w:before="200"/>
      </w:pPr>
      <w:r>
        <w:rPr>
          <w:b/>
          <w:color w:val="1F4E79"/>
          <w:sz w:val="26"/>
        </w:rPr>
        <w:t>5. ‘FOI &amp; Reasons Assistant’ — transparency tooling (sharp wedge, lowest UPL risk)</w:t>
      </w:r>
    </w:p>
    <w:p w14:paraId="1BEDD836">
      <w:pPr>
        <w:spacing w:before="160"/>
      </w:pPr>
      <w:r>
        <w:rPr>
          <w:b/>
          <w:sz w:val="23"/>
        </w:rPr>
        <w:t>Market need</w:t>
      </w:r>
    </w:p>
    <w:p w14:paraId="5583C4DB">
      <w:pPr>
        <w:jc w:val="both"/>
      </w:pPr>
      <w:r>
        <w:t>34,706 FOI requests were made to Commonwealth agencies in 2023-24 with falling grant rates and review backlogs; statutory reasons requests (ADJR s 13; ALA s 8 in Vic) are under-used because people don’t know they exist.</w:t>
      </w:r>
    </w:p>
    <w:p w14:paraId="346F7195">
      <w:pPr>
        <w:spacing w:before="160"/>
      </w:pPr>
      <w:r>
        <w:rPr>
          <w:b/>
          <w:sz w:val="23"/>
        </w:rPr>
        <w:t>The product</w:t>
      </w:r>
    </w:p>
    <w:p w14:paraId="7B1698D4">
      <w:pPr>
        <w:jc w:val="both"/>
      </w:pPr>
      <w:r>
        <w:t>Generates correctly-framed FOI and statutory reasons requests, tracks every deadline, and on refusal drafts internal-review and OAIC/Ombudsman complaint letters — mostly procedural assistance, well clear of the advice line.</w:t>
      </w:r>
    </w:p>
    <w:p w14:paraId="3792BEE6">
      <w:pPr>
        <w:spacing w:before="160"/>
      </w:pPr>
      <w:r>
        <w:rPr>
          <w:b/>
          <w:sz w:val="23"/>
        </w:rPr>
        <w:t>Why us / product–market fit</w:t>
      </w:r>
    </w:p>
    <w:p w14:paraId="49A048D3">
      <w:pPr>
        <w:jc w:val="both"/>
      </w:pPr>
      <w:r>
        <w:t>A clean, narrow wedge useful from day one, and a natural feeder into Idea 1 (a reasons request is step one of a merits-review challenge).</w:t>
      </w:r>
    </w:p>
    <w:p w14:paraId="4BE1B9CD">
      <w:pPr>
        <w:spacing w:before="160"/>
      </w:pPr>
      <w:r>
        <w:rPr>
          <w:b/>
          <w:sz w:val="23"/>
        </w:rPr>
        <w:t>Monetisation</w:t>
      </w:r>
    </w:p>
    <w:p w14:paraId="0C6016EF">
      <w:pPr>
        <w:jc w:val="both"/>
      </w:pPr>
      <w:r>
        <w:t>Freemium B2C; B2B seats for newsrooms, advocacy bodies, researchers and SMEs; per-request micro-pricing.</w:t>
      </w:r>
    </w:p>
    <w:p w14:paraId="24FBAAA0">
      <w:pPr>
        <w:spacing w:before="160"/>
      </w:pPr>
      <w:r>
        <w:rPr>
          <w:b/>
          <w:sz w:val="23"/>
        </w:rPr>
        <w:t>Key risk</w:t>
      </w:r>
    </w:p>
    <w:p w14:paraId="76E4DB2F">
      <w:pPr>
        <w:jc w:val="both"/>
      </w:pPr>
      <w:r>
        <w:t>Lowest of the set (procedural, not advisory); main work is keeping deadline/jurisdiction rules current.</w:t>
      </w:r>
    </w:p>
    <w:p w14:paraId="2EB35429">
      <w:r>
        <w:br w:type="page"/>
      </w:r>
    </w:p>
    <w:p w14:paraId="3E7F6535">
      <w:pPr>
        <w:pBdr>
          <w:bottom w:val="single" w:color="1F4E79" w:sz="8" w:space="4"/>
        </w:pBdr>
      </w:pPr>
      <w:r>
        <w:rPr>
          <w:b/>
          <w:color w:val="1F4E79"/>
          <w:sz w:val="32"/>
        </w:rPr>
        <w:t>Part B — Three Bigger, More Ambitious Plays</w:t>
      </w:r>
    </w:p>
    <w:p w14:paraId="6FFED3D3">
      <w:pPr>
        <w:jc w:val="both"/>
      </w:pPr>
      <w:r>
        <w:t>These are higher-ceiling, higher-difficulty concepts. They use the same engine but aim at infrastructure and systemic scale rather than a single user’s document.</w:t>
      </w:r>
    </w:p>
    <w:p w14:paraId="3E28B856">
      <w:pPr>
        <w:spacing w:before="200"/>
      </w:pPr>
      <w:r>
        <w:rPr>
          <w:b/>
          <w:color w:val="1F4E79"/>
          <w:sz w:val="26"/>
        </w:rPr>
        <w:t>6. ‘Injustice Radar’ — systemic-pattern detection and class-action / oversight intelligence</w:t>
      </w:r>
    </w:p>
    <w:p w14:paraId="140C7C75">
      <w:pPr>
        <w:spacing w:before="160"/>
      </w:pPr>
      <w:r>
        <w:rPr>
          <w:b/>
          <w:sz w:val="23"/>
        </w:rPr>
        <w:t>Market need</w:t>
      </w:r>
    </w:p>
    <w:p w14:paraId="657BEB54">
      <w:pPr>
        <w:jc w:val="both"/>
      </w:pPr>
      <w:r>
        <w:t>Robodebt raised ~$1.76bn in unlawful debts against ~433,000 people and took years to surface. The pattern — a class of similar government decisions sharing the same legal defect — is exactly what our grounds engine recognises. Australia files ~1 class action/week; litigation funders (a ~A$199m market) and oversight bodies actively hunt for systemic wrongs early.</w:t>
      </w:r>
    </w:p>
    <w:p w14:paraId="35B2D1D5">
      <w:pPr>
        <w:spacing w:before="160"/>
      </w:pPr>
      <w:r>
        <w:rPr>
          <w:b/>
          <w:sz w:val="23"/>
        </w:rPr>
        <w:t>The product</w:t>
      </w:r>
    </w:p>
    <w:p w14:paraId="2577B3B3">
      <w:pPr>
        <w:jc w:val="both"/>
      </w:pPr>
      <w:r>
        <w:t>A population-scale layer that ingests published tribunal/court decisions and (where available) de-identified outcome data, clusters decisions by decision-type and defect, and flags emerging systemic unlawfulness — a ‘Robodebt early-warning system’. Outputs: dashboards and alerts on classes of potentially invalid decisions, with the shared legal ground identified.</w:t>
      </w:r>
    </w:p>
    <w:p w14:paraId="67F3D10C">
      <w:pPr>
        <w:spacing w:before="160"/>
      </w:pPr>
      <w:r>
        <w:rPr>
          <w:b/>
          <w:sz w:val="23"/>
        </w:rPr>
        <w:t>Why us / product–market fit</w:t>
      </w:r>
    </w:p>
    <w:p w14:paraId="087410E3">
      <w:pPr>
        <w:jc w:val="both"/>
      </w:pPr>
      <w:r>
        <w:t>Turns the grounds engine from a one-case tool into an analytics layer over the whole corpus of admin-law decisions — a defensible data asset. No one in Australia packages admin-law data this way.</w:t>
      </w:r>
    </w:p>
    <w:p w14:paraId="19DD8605">
      <w:pPr>
        <w:spacing w:before="160"/>
      </w:pPr>
      <w:r>
        <w:rPr>
          <w:b/>
          <w:sz w:val="23"/>
        </w:rPr>
        <w:t>Monetisation</w:t>
      </w:r>
    </w:p>
    <w:p w14:paraId="73703BF2">
      <w:pPr>
        <w:jc w:val="both"/>
      </w:pPr>
      <w:r>
        <w:t>Intelligence subscriptions to litigation funders and plaintiff class-action firms; licences to integrity bodies, regulators and oversight agencies; a tier for investigative newsrooms and academics. High-value, low-volume contracts.</w:t>
      </w:r>
    </w:p>
    <w:p w14:paraId="6E90D81A">
      <w:pPr>
        <w:spacing w:before="160"/>
      </w:pPr>
      <w:r>
        <w:rPr>
          <w:b/>
          <w:sz w:val="23"/>
        </w:rPr>
        <w:t>Key risk</w:t>
      </w:r>
    </w:p>
    <w:p w14:paraId="51F6199B">
      <w:pPr>
        <w:jc w:val="both"/>
      </w:pPr>
      <w:r>
        <w:t>Sensitivity and ethics (must support accountability, not frivolous claims); data access and privacy; reputational care — position as oversight infrastructure, with human expert sign-off before any claim is acted on.</w:t>
      </w:r>
    </w:p>
    <w:p w14:paraId="6F14A084">
      <w:pPr>
        <w:spacing w:before="200"/>
      </w:pPr>
      <w:r>
        <w:rPr>
          <w:b/>
          <w:color w:val="1F4E79"/>
          <w:sz w:val="26"/>
        </w:rPr>
        <w:t>7. ‘Open Justice Graph’ — verified legal-reasoning infrastructure / grounding-as-a-service (the platform moat)</w:t>
      </w:r>
    </w:p>
    <w:p w14:paraId="34269A4B">
      <w:pPr>
        <w:spacing w:before="160"/>
      </w:pPr>
      <w:r>
        <w:rPr>
          <w:b/>
          <w:sz w:val="23"/>
        </w:rPr>
        <w:t>Market need</w:t>
      </w:r>
    </w:p>
    <w:p w14:paraId="3ABA8C90">
      <w:pPr>
        <w:jc w:val="both"/>
      </w:pPr>
      <w:r>
        <w:t>Australian legal AI’s core problem is hallucination; AustLII and Jade hold the primary sources but there is no structured, machine-readable, citation-verified knowledge layer that other products, agencies and universities can build on. Grounding is the agreed mitigation — but everyone is rebuilding it privately.</w:t>
      </w:r>
    </w:p>
    <w:p w14:paraId="504C3EA7">
      <w:pPr>
        <w:spacing w:before="160"/>
      </w:pPr>
      <w:r>
        <w:rPr>
          <w:b/>
          <w:sz w:val="23"/>
        </w:rPr>
        <w:t>The product</w:t>
      </w:r>
    </w:p>
    <w:p w14:paraId="4CA24F86">
      <w:pPr>
        <w:jc w:val="both"/>
      </w:pPr>
      <w:r>
        <w:t>The canonical knowledge graph of Australian administrative law: every reviewable decision-type → enabling statute → grounds → leading cases → review body → deadline → remedy, plus a citation-verification API that confirms a quoted authority is real and on point. The ‘grounding-as-a-service’ layer beneath Ideas 1–5 and third-party tools.</w:t>
      </w:r>
    </w:p>
    <w:p w14:paraId="2A201CE6">
      <w:pPr>
        <w:spacing w:before="160"/>
      </w:pPr>
      <w:r>
        <w:rPr>
          <w:b/>
          <w:sz w:val="23"/>
        </w:rPr>
        <w:t>Why us / product–market fit</w:t>
      </w:r>
    </w:p>
    <w:p w14:paraId="3E99E676">
      <w:pPr>
        <w:jc w:val="both"/>
      </w:pPr>
      <w:r>
        <w:t>Our allow-list / pinpoint-verification architecture is, in effect, a small version of this already. Owning the infrastructure layer is more defensible than any single app and makes every other idea cheaper to build.</w:t>
      </w:r>
    </w:p>
    <w:p w14:paraId="5C636B2B">
      <w:pPr>
        <w:spacing w:before="160"/>
      </w:pPr>
      <w:r>
        <w:rPr>
          <w:b/>
          <w:sz w:val="23"/>
        </w:rPr>
        <w:t>Monetisation</w:t>
      </w:r>
    </w:p>
    <w:p w14:paraId="663EB21A">
      <w:pPr>
        <w:jc w:val="both"/>
      </w:pPr>
      <w:r>
        <w:t>API/usage licensing to legaltech vendors, law firms, government and universities; enterprise data partnerships; the engine that powers our own apps (build once, monetise many times).</w:t>
      </w:r>
    </w:p>
    <w:p w14:paraId="726C59D0">
      <w:pPr>
        <w:spacing w:before="160"/>
      </w:pPr>
      <w:r>
        <w:rPr>
          <w:b/>
          <w:sz w:val="23"/>
        </w:rPr>
        <w:t>Key risk</w:t>
      </w:r>
    </w:p>
    <w:p w14:paraId="6FA107E5">
      <w:pPr>
        <w:jc w:val="both"/>
      </w:pPr>
      <w:r>
        <w:t>Heavy build and data-rights/licensing work (AustLII/court data terms); needs ongoing currency. Best pursued once one consumer app validates demand.</w:t>
      </w:r>
    </w:p>
    <w:p w14:paraId="4688FF2E">
      <w:pPr>
        <w:spacing w:before="200"/>
      </w:pPr>
      <w:r>
        <w:rPr>
          <w:b/>
          <w:color w:val="1F4E79"/>
          <w:sz w:val="26"/>
        </w:rPr>
        <w:t>8. ‘Resolve’ — AI-assisted tribunal triage, case management and online dispute resolution (systemic productivity, gov B2B)</w:t>
      </w:r>
    </w:p>
    <w:p w14:paraId="34C886C5">
      <w:pPr>
        <w:spacing w:before="160"/>
      </w:pPr>
      <w:r>
        <w:rPr>
          <w:b/>
          <w:sz w:val="23"/>
        </w:rPr>
        <w:t>Market need</w:t>
      </w:r>
    </w:p>
    <w:p w14:paraId="2F6360F1">
      <w:pPr>
        <w:jc w:val="both"/>
      </w:pPr>
      <w:r>
        <w:t>The ART is 112,000+ cases behind and says it lacks the resources to process current lodgements; VCAT/NCAT carry ~80k/71k a year. British Columbia’s Civil Resolution Tribunal moved ~15,000 disputes/yr online — proof that ODR plus assisted case management clears backlog and widens access.</w:t>
      </w:r>
    </w:p>
    <w:p w14:paraId="1705650C">
      <w:pPr>
        <w:spacing w:before="160"/>
      </w:pPr>
      <w:r>
        <w:rPr>
          <w:b/>
          <w:sz w:val="23"/>
        </w:rPr>
        <w:t>The product</w:t>
      </w:r>
    </w:p>
    <w:p w14:paraId="11110008">
      <w:pPr>
        <w:jc w:val="both"/>
      </w:pPr>
      <w:r>
        <w:t>A two-part platform: (a) an ODR ‘front door’ that helps parties resolve or narrow disputes before a hearing; and (b) human-in-the-loop case-management support for the tribunal — triage, issue-spotting, summarisation and draft scaffolding for members — always with the member deciding. Built to the post-Robodebt standard: assistive, transparent, never automated decision-making.</w:t>
      </w:r>
    </w:p>
    <w:p w14:paraId="684F5167">
      <w:pPr>
        <w:spacing w:before="160"/>
      </w:pPr>
      <w:r>
        <w:rPr>
          <w:b/>
          <w:sz w:val="23"/>
        </w:rPr>
        <w:t>Why us / product–market fit</w:t>
      </w:r>
    </w:p>
    <w:p w14:paraId="2FE609A4">
      <w:pPr>
        <w:jc w:val="both"/>
      </w:pPr>
      <w:r>
        <w:t>Same engine, aimed at the supply side of justice; the access-to-justice and productivity impact is systemic, not individual.</w:t>
      </w:r>
    </w:p>
    <w:p w14:paraId="157221BB">
      <w:pPr>
        <w:spacing w:before="160"/>
      </w:pPr>
      <w:r>
        <w:rPr>
          <w:b/>
          <w:sz w:val="23"/>
        </w:rPr>
        <w:t>Monetisation</w:t>
      </w:r>
    </w:p>
    <w:p w14:paraId="25C5BA7E">
      <w:pPr>
        <w:jc w:val="both"/>
      </w:pPr>
      <w:r>
        <w:t>Government contracts and grants with tribunals/agencies; potentially the highest-value deals of the eight.</w:t>
      </w:r>
    </w:p>
    <w:p w14:paraId="3375FBBB">
      <w:pPr>
        <w:spacing w:before="160"/>
      </w:pPr>
      <w:r>
        <w:rPr>
          <w:b/>
          <w:sz w:val="23"/>
        </w:rPr>
        <w:t>Key risk</w:t>
      </w:r>
    </w:p>
    <w:p w14:paraId="02FE6E05">
      <w:pPr>
        <w:jc w:val="both"/>
      </w:pPr>
      <w:r>
        <w:t>The longest sales cycle and the highest scrutiny — Robodebt has rightly made government wary of automation. Win trust by making the tool strictly assistive with full human control and auditability.</w:t>
      </w:r>
    </w:p>
    <w:p w14:paraId="1D6770D3">
      <w:r>
        <w:br w:type="page"/>
      </w:r>
    </w:p>
    <w:p w14:paraId="446BDE5C">
      <w:pPr>
        <w:pBdr>
          <w:bottom w:val="single" w:color="1F4E79" w:sz="8" w:space="4"/>
        </w:pBdr>
      </w:pPr>
      <w:r>
        <w:rPr>
          <w:b/>
          <w:color w:val="1F4E79"/>
          <w:sz w:val="32"/>
        </w:rPr>
        <w:t>Recommended Strategy — One Engine, Three Segments, Sequenced by Risk</w:t>
      </w:r>
    </w:p>
    <w:p w14:paraId="6175B5A4">
      <w:pPr>
        <w:jc w:val="both"/>
      </w:pPr>
      <w:r>
        <w:t>The eight are not equal, and they share one core asset. The smart play is a sequenced wedge that escalates in risk and reward while reusing the same engine:</w:t>
      </w:r>
    </w:p>
    <w:p w14:paraId="77DAE693">
      <w:pPr>
        <w:pStyle w:val="23"/>
      </w:pPr>
      <w:r>
        <w:rPr>
          <w:b/>
        </w:rPr>
        <w:t>Phase 1 — Ship Idea 3 (Adaptive IRAC).</w:t>
      </w:r>
      <w:r>
        <w:t xml:space="preserve"> Already built; total founder–market fit; near-zero regulatory risk; captive seasonal market. Generates early revenue and a reference product while we harden the engine and the verified-citation corpus.</w:t>
      </w:r>
    </w:p>
    <w:p w14:paraId="0C93DF3D">
      <w:pPr>
        <w:pStyle w:val="23"/>
      </w:pPr>
      <w:r>
        <w:rPr>
          <w:b/>
        </w:rPr>
        <w:t>Phase 2 — Idea 2 (Grounds Analyser).</w:t>
      </w:r>
      <w:r>
        <w:t xml:space="preserve"> The B2B revenue engine; same engine, with the anti-hallucination corpus as the differentiator the market is demanding post-Re Dayal.</w:t>
      </w:r>
    </w:p>
    <w:p w14:paraId="3F8A8810">
      <w:pPr>
        <w:pStyle w:val="23"/>
      </w:pPr>
      <w:r>
        <w:rPr>
          <w:b/>
        </w:rPr>
        <w:t>Phase 3 — Idea 1 (Merits-Review Navigator).</w:t>
      </w:r>
      <w:r>
        <w:t xml:space="preserve"> The access-to-justice flagship and grant/impact play, once the engine and the ‘information-not-advice’ guardrails are proven; Idea 5 (FOI &amp; Reasons) is a low-risk wedge that can ship alongside.</w:t>
      </w:r>
    </w:p>
    <w:p w14:paraId="0F1ED195">
      <w:pPr>
        <w:pStyle w:val="23"/>
      </w:pPr>
      <w:r>
        <w:rPr>
          <w:b/>
        </w:rPr>
        <w:t>Phase 4 — The big plays.</w:t>
      </w:r>
      <w:r>
        <w:t xml:space="preserve"> Idea 7 (Open Justice Graph) formalises the infrastructure we will already be building; Ideas 4 (Decision Shield), 6 (Injustice Radar) and 8 (Resolve) are the systemic, government- and funder-facing expansions once the core engine and data asset are established.</w:t>
      </w:r>
    </w:p>
    <w:p w14:paraId="76F76D35">
      <w:pPr>
        <w:jc w:val="both"/>
      </w:pPr>
      <w:r>
        <w:t>Net: one reasoning engine, three customer segments (students → practitioners → public), plus a government/infrastructure tier — de-risked in that order. Each phase funds and validates the next, and every phase deepens the verified-citation corpus that is the moat.</w:t>
      </w:r>
    </w:p>
    <w:p w14:paraId="4D628190">
      <w:r>
        <w:br w:type="page"/>
      </w:r>
    </w:p>
    <w:p w14:paraId="1E99D246">
      <w:pPr>
        <w:pBdr>
          <w:bottom w:val="single" w:color="1F4E79" w:sz="8" w:space="4"/>
        </w:pBdr>
      </w:pPr>
      <w:r>
        <w:rPr>
          <w:b/>
          <w:color w:val="1F4E79"/>
          <w:sz w:val="32"/>
        </w:rPr>
        <w:t>Regulatory &amp; Ethical Guardrails (applies to all)</w:t>
      </w:r>
    </w:p>
    <w:p w14:paraId="6ABF8EAC">
      <w:pPr>
        <w:pStyle w:val="23"/>
      </w:pPr>
      <w:r>
        <w:rPr>
          <w:b/>
        </w:rPr>
        <w:t>Stay on the right side of the advice line:</w:t>
      </w:r>
      <w:r>
        <w:t xml:space="preserve"> ‘legal information’ is unregulated; tailored ‘legal advice’ is restricted. Use guided information, document scaffolding and human referral — the JusticeBot / Settify model — not outcome prediction.</w:t>
      </w:r>
    </w:p>
    <w:p w14:paraId="5D960CF8">
      <w:pPr>
        <w:pStyle w:val="23"/>
      </w:pPr>
      <w:r>
        <w:rPr>
          <w:b/>
        </w:rPr>
        <w:t>Verified citations only:</w:t>
      </w:r>
      <w:r>
        <w:t xml:space="preserve"> every authority source-linked and checked against the closed corpus; never generate a citation that cannot be verified. This is both the ethical baseline and the commercial moat post-Re Dayal.</w:t>
      </w:r>
    </w:p>
    <w:p w14:paraId="554DCDEC">
      <w:pPr>
        <w:pStyle w:val="23"/>
      </w:pPr>
      <w:r>
        <w:rPr>
          <w:b/>
        </w:rPr>
        <w:t>Human-in-the-loop for anything consequential:</w:t>
      </w:r>
      <w:r>
        <w:t xml:space="preserve"> advice, filing and (especially) tribunal decision-support keep a qualified human in control; respect court AI practice notes.</w:t>
      </w:r>
    </w:p>
    <w:p w14:paraId="7583917F">
      <w:pPr>
        <w:pStyle w:val="23"/>
      </w:pPr>
      <w:r>
        <w:rPr>
          <w:b/>
        </w:rPr>
        <w:t>Post-Robodebt discipline:</w:t>
      </w:r>
      <w:r>
        <w:t xml:space="preserve"> no automated government decision-making; assistive, transparent and auditable by design.</w:t>
      </w:r>
    </w:p>
    <w:p w14:paraId="3FA290B6">
      <w:pPr>
        <w:pStyle w:val="23"/>
      </w:pPr>
      <w:r>
        <w:rPr>
          <w:b/>
        </w:rPr>
        <w:t>Privacy and trust:</w:t>
      </w:r>
      <w:r>
        <w:t xml:space="preserve"> careful handling of personal and decision data, especially for the population-scale plays (Ideas 6 and 7).</w:t>
      </w:r>
    </w:p>
    <w:p w14:paraId="28B80E7C">
      <w:r>
        <w:br w:type="page"/>
      </w:r>
    </w:p>
    <w:p w14:paraId="3C6FF4EE">
      <w:pPr>
        <w:pBdr>
          <w:bottom w:val="single" w:color="1F4E79" w:sz="8" w:space="4"/>
        </w:pBdr>
      </w:pPr>
      <w:r>
        <w:rPr>
          <w:b/>
          <w:color w:val="1F4E79"/>
          <w:sz w:val="32"/>
        </w:rPr>
        <w:t>Sources</w:t>
      </w:r>
    </w:p>
    <w:p w14:paraId="60A73EB2">
      <w:pPr>
        <w:pStyle w:val="23"/>
      </w:pPr>
      <w:r>
        <w:t>Productivity Commission, Access to Justice Arrangements (2014) — pc.gov.au/inquiries/completed/access-justice/report</w:t>
      </w:r>
    </w:p>
    <w:p w14:paraId="66B16E21">
      <w:pPr>
        <w:pStyle w:val="23"/>
      </w:pPr>
      <w:r>
        <w:t>Law Council of Australia, Justice Project (2018) and Missing Middle (2021) — lawcouncil.au</w:t>
      </w:r>
    </w:p>
    <w:p w14:paraId="44EF1BE8">
      <w:pPr>
        <w:pStyle w:val="23"/>
      </w:pPr>
      <w:r>
        <w:t>Administrative Review Tribunal, Annual Report 2024-25 — art.gov.au</w:t>
      </w:r>
    </w:p>
    <w:p w14:paraId="47FB0F62">
      <w:pPr>
        <w:pStyle w:val="23"/>
      </w:pPr>
      <w:r>
        <w:t>NCAT Annual Report 2023-24 — ncat.nsw.gov.au; VCAT Annual Report 2023-24 — vcat.vic.gov.au</w:t>
      </w:r>
    </w:p>
    <w:p w14:paraId="63627816">
      <w:pPr>
        <w:pStyle w:val="23"/>
      </w:pPr>
      <w:r>
        <w:t>Commonwealth Ombudsman Annual Report 2024-25 — ombudsman.gov.au; OAIC Annual Report 2023-24 — oaic.gov.au</w:t>
      </w:r>
    </w:p>
    <w:p w14:paraId="69BCDF77">
      <w:pPr>
        <w:pStyle w:val="23"/>
      </w:pPr>
      <w:r>
        <w:t>Royal Commission into the Robodebt Scheme, Report (2023) — robodebt.royalcommission.gov.au</w:t>
      </w:r>
    </w:p>
    <w:p w14:paraId="7C78E3D9">
      <w:pPr>
        <w:pStyle w:val="23"/>
      </w:pPr>
      <w:r>
        <w:t>Class actions / litigation funding: KWM The Review: Class Actions in Australia 2023-24; Lawyers Weekly (2024-25); Morabito class-action data</w:t>
      </w:r>
    </w:p>
    <w:p w14:paraId="07BA1EB0">
      <w:pPr>
        <w:pStyle w:val="23"/>
      </w:pPr>
      <w:r>
        <w:t>AI in law: Re Dayal (first AU lawyer sanctioned for AI citations); Federal Court GPN-AI; NSW SC Practice Note Gen 23; Qld Courts GenAI Guidelines (Sep 2025); Legg, McNamara &amp; Alimardani (2025) 48 UNSW Law Journal 1196</w:t>
      </w:r>
    </w:p>
    <w:p w14:paraId="042D708C">
      <w:pPr>
        <w:pStyle w:val="23"/>
      </w:pPr>
      <w:r>
        <w:t>Legal Profession Uniform Law s 10 (unqualified practice)</w:t>
      </w:r>
    </w:p>
    <w:p w14:paraId="67D315B0">
      <w:pPr>
        <w:pStyle w:val="23"/>
      </w:pPr>
      <w:r>
        <w:t>JusticeBot (Quebec) — cyberjustice.ca; British Columbia Civil Resolution Tribunal — gov.bc.ca / civilresolutionbc.ca</w:t>
      </w:r>
    </w:p>
    <w:p w14:paraId="484BCD2B">
      <w:pPr>
        <w:pStyle w:val="23"/>
      </w:pPr>
      <w:r>
        <w:t>Australian legaltech market: Lawpath (500k customers, $10m raise 2025); 2024 National Profile of Solicitors (Law Society of NSW)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BC9C0B">
    <w:pPr>
      <w:pStyle w:val="18"/>
      <w:jc w:val="center"/>
    </w:pPr>
    <w:r>
      <w:rPr>
        <w:color w:val="595959"/>
        <w:sz w:val="16"/>
      </w:rPr>
      <w:t xml:space="preserve">Page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PAGE</w:instrText>
    </w:r>
    <w:r>
      <w:rPr>
        <w:color w:val="59595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942C4">
    <w:pPr>
      <w:pStyle w:val="19"/>
      <w:jc w:val="right"/>
    </w:pPr>
    <w:r>
      <w:rPr>
        <w:i/>
        <w:color w:val="595959"/>
        <w:sz w:val="16"/>
      </w:rPr>
      <w:t>Confidential — Venture Concepts (Admin-Law Reasoning Engine)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ADF0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2572</Words>
  <Characters>15246</Characters>
  <Lines>0</Lines>
  <Paragraphs>0</Paragraphs>
  <TotalTime>11</TotalTime>
  <ScaleCrop>false</ScaleCrop>
  <LinksUpToDate>false</LinksUpToDate>
  <CharactersWithSpaces>17687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Raymond Zheng</cp:lastModifiedBy>
  <dcterms:modified xsi:type="dcterms:W3CDTF">2026-08-17T12:08:48Z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eyJoZGlkIjoiODkzYjA3MzJiYTRhZWY0YjljYTkzNzY0YjhmM2MyMjkiLCJ1c2VySWQiOiIxNjkyMjQ5MzYyNDcwMSJ9</vt:lpwstr>
  </property>
  <property fmtid="{D5CDD505-2E9C-101B-9397-08002B2CF9AE}" pid="3" name="KSOProductBuildVer">
    <vt:lpwstr>1033-12.1.0.28032</vt:lpwstr>
  </property>
  <property fmtid="{D5CDD505-2E9C-101B-9397-08002B2CF9AE}" pid="4" name="ICV">
    <vt:lpwstr>0A2487642C3948BCB7F00317CDC5DDC3_12</vt:lpwstr>
  </property>
</Properties>
</file>