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keepNext w:val="0"/>
        <w:keepLines w:val="0"/>
        <w:pStyle w:val="Heading2"/>
        <w:spacing w:before="0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Audit Process</w:t>
      </w:r>
    </w:p>
    <w:p>
      <w:pPr>
        <w:numPr>
          <w:ilvl w:val="0"/>
          <w:numId w:val="1"/>
        </w:numPr>
        <w:jc w:val="left"/>
        <w:ind w:left="720"/>
        <w:ind w:hanging="204"/>
        <w:spacing w:before="240" w:after="240"/>
      </w:pPr>
      <w:r>
        <w:t>Assessment</w:t>
      </w:r>
    </w:p>
    <w:p>
      <w:pPr>
        <w:spacing w:before="240" w:after="240"/>
      </w:pPr>
      <w:r>
        <w:t>-Smart contract business logic</w:t>
      </w:r>
    </w:p>
    <w:p>
      <w:pPr>
        <w:spacing w:before="240" w:after="240"/>
      </w:pPr>
      <w:r>
        <w:t>-Identify security properties to test</w:t>
      </w:r>
    </w:p>
    <w:p>
      <w:pPr>
        <w:numPr>
          <w:ilvl w:val="0"/>
          <w:numId w:val="2"/>
        </w:numPr>
        <w:jc w:val="left"/>
        <w:ind w:left="720"/>
        <w:ind w:hanging="204"/>
        <w:spacing w:before="240" w:after="240"/>
      </w:pPr>
      <w:r>
        <w:t>Review</w:t>
      </w:r>
    </w:p>
    <w:p>
      <w:pPr>
        <w:spacing w:before="240" w:after="240"/>
      </w:pPr>
      <w:r>
        <w:t>-Parallel multi-analysis</w:t>
      </w:r>
    </w:p>
    <w:p>
      <w:pPr>
        <w:spacing w:before="240" w:after="240"/>
      </w:pPr>
      <w:r>
        <w:t>-Manual inspection</w:t>
      </w:r>
    </w:p>
    <w:p>
      <w:pPr>
        <w:numPr>
          <w:ilvl w:val="0"/>
          <w:numId w:val="3"/>
        </w:numPr>
        <w:jc w:val="left"/>
        <w:ind w:left="720"/>
        <w:ind w:hanging="204"/>
        <w:spacing w:before="240" w:after="240"/>
      </w:pPr>
      <w:r>
        <w:t>Delivery</w:t>
      </w:r>
    </w:p>
    <w:p>
      <w:pPr>
        <w:spacing w:before="240" w:after="240"/>
      </w:pPr>
      <w:r>
        <w:t>-Comprehensive report</w:t>
      </w:r>
    </w:p>
    <w:p>
      <w:pPr>
        <w:spacing w:before="240" w:after="240"/>
      </w:pPr>
      <w:r>
        <w:t>-Vulnerability Details</w:t>
      </w:r>
    </w:p>
    <w:p>
      <w:pPr>
        <w:spacing w:before="240" w:after="240"/>
      </w:pPr>
      <w:r>
        <w:t>-Mitigation guidance</w:t>
      </w:r>
    </w:p>
    <w:p>
      <w:pPr>
        <w:spacing w:before="240" w:after="240"/>
      </w:pPr>
      <w:r>
        <w:t>-Options for continuous verification</w:t>
      </w:r>
    </w:p>
    <w:p>
      <w:pPr>
        <w:spacing w:before="240" w:after="240"/>
      </w:pPr>
      <w:r>
        <w:t>[Points: Clear +1, Formal +1 | MAX: 2/2]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 xml:space="preserve">ConsenSys: Pre-reqs/Standards </w:t>
      </w:r>
      <w:hyperlink w:history="1" r:id="rId4">
        <w:r>
          <w:rPr>
            <w:i w:val="0"/>
            <w:u w:val="single" w:color="0000EE"/>
            <w:color w:val="0000EE"/>
            <w:rFonts w:ascii="Times New Roman" w:cs="Times New Roman" w:eastAsia="Times New Roman" w:hAnsi="Times New Roman"/>
          </w:rPr>
          <w:t>Checklist</w:t>
        </w:r>
      </w:hyperlink>
    </w:p>
    <w:p>
      <w:pPr>
        <w:spacing w:before="240" w:after="240"/>
      </w:pPr>
      <w:r>
        <w:rPr>
          <w:iCs/>
          <w:i/>
        </w:rPr>
        <w:t>Checklist summary;</w:t>
      </w:r>
    </w:p>
    <w:p>
      <w:pPr>
        <w:numPr>
          <w:ilvl w:val="0"/>
          <w:numId w:val="4"/>
        </w:numPr>
        <w:jc w:val="left"/>
        <w:ind w:left="720"/>
        <w:ind w:hanging="204"/>
        <w:spacing w:before="240"/>
      </w:pPr>
      <w:hyperlink w:history="1" r:id="rId5">
        <w:r>
          <w:rPr>
            <w:u w:val="single" w:color="0000EE"/>
            <w:color w:val="0000EE"/>
          </w:rPr>
          <w:t>General Philosophy</w:t>
        </w:r>
      </w:hyperlink>
      <w:r>
        <w:t xml:space="preserve"> describes the smart contract security mindset</w:t>
      </w:r>
    </w:p>
    <w:p>
      <w:pPr>
        <w:numPr>
          <w:ilvl w:val="0"/>
          <w:numId w:val="4"/>
        </w:numPr>
        <w:jc w:val="left"/>
        <w:ind w:left="720"/>
        <w:ind w:hanging="204"/>
      </w:pPr>
      <w:hyperlink w:history="1" r:id="rId6">
        <w:r>
          <w:rPr>
            <w:u w:val="single" w:color="0000EE"/>
            <w:color w:val="0000EE"/>
          </w:rPr>
          <w:t>Smart Contract Recommendations</w:t>
        </w:r>
      </w:hyperlink>
      <w:r>
        <w:t xml:space="preserve"> contains examples of good code patterns</w:t>
      </w:r>
    </w:p>
    <w:p>
      <w:pPr>
        <w:numPr>
          <w:ilvl w:val="0"/>
          <w:numId w:val="4"/>
        </w:numPr>
        <w:jc w:val="left"/>
        <w:ind w:left="720"/>
        <w:ind w:hanging="204"/>
      </w:pPr>
      <w:hyperlink w:history="1" r:id="rId7">
        <w:r>
          <w:rPr>
            <w:u w:val="single" w:color="0000EE"/>
            <w:color w:val="0000EE"/>
          </w:rPr>
          <w:t>Known Attacks</w:t>
        </w:r>
      </w:hyperlink>
      <w:r>
        <w:t xml:space="preserve"> describes the different classes of vulnerabilities to avoid</w:t>
      </w:r>
    </w:p>
    <w:p>
      <w:pPr>
        <w:numPr>
          <w:ilvl w:val="0"/>
          <w:numId w:val="4"/>
        </w:numPr>
        <w:jc w:val="left"/>
        <w:ind w:left="720"/>
        <w:ind w:hanging="204"/>
      </w:pPr>
      <w:hyperlink w:history="1" r:id="rId8">
        <w:r>
          <w:rPr>
            <w:u w:val="single" w:color="0000EE"/>
            <w:color w:val="0000EE"/>
          </w:rPr>
          <w:t>Software Engineering</w:t>
        </w:r>
      </w:hyperlink>
      <w:r>
        <w:t xml:space="preserve"> outlines some architectural and design approaches for risk mitigation</w:t>
      </w:r>
    </w:p>
    <w:p>
      <w:pPr>
        <w:numPr>
          <w:ilvl w:val="0"/>
          <w:numId w:val="4"/>
        </w:numPr>
        <w:jc w:val="left"/>
        <w:ind w:left="720"/>
        <w:ind w:hanging="204"/>
      </w:pPr>
      <w:hyperlink w:history="1" r:id="rId9">
        <w:r>
          <w:rPr>
            <w:u w:val="single" w:color="0000EE"/>
            <w:color w:val="0000EE"/>
          </w:rPr>
          <w:t>Documentation and Procedures</w:t>
        </w:r>
      </w:hyperlink>
      <w:r>
        <w:t xml:space="preserve"> outlines best practices for documenting your system for other developers and auditors</w:t>
      </w:r>
    </w:p>
    <w:p>
      <w:pPr>
        <w:numPr>
          <w:ilvl w:val="0"/>
          <w:numId w:val="4"/>
        </w:numPr>
        <w:jc w:val="left"/>
        <w:ind w:left="720"/>
        <w:ind w:hanging="204"/>
      </w:pPr>
      <w:hyperlink w:history="1" r:id="rId10">
        <w:r>
          <w:rPr>
            <w:u w:val="single" w:color="0000EE"/>
            <w:color w:val="0000EE"/>
          </w:rPr>
          <w:t>Security Tools</w:t>
        </w:r>
      </w:hyperlink>
      <w:r>
        <w:t xml:space="preserve"> lists tools for improving code quality and detecting vulnerabilities</w:t>
      </w:r>
    </w:p>
    <w:p>
      <w:pPr>
        <w:numPr>
          <w:ilvl w:val="0"/>
          <w:numId w:val="4"/>
        </w:numPr>
        <w:jc w:val="left"/>
        <w:ind w:left="720"/>
        <w:ind w:hanging="204"/>
      </w:pPr>
      <w:hyperlink w:history="1" r:id="rId11">
        <w:r>
          <w:rPr>
            <w:u w:val="single" w:color="0000EE"/>
            <w:color w:val="0000EE"/>
          </w:rPr>
          <w:t>Tokens</w:t>
        </w:r>
      </w:hyperlink>
      <w:r>
        <w:t xml:space="preserve"> outline best practices specifically related to Tokens.</w:t>
      </w:r>
    </w:p>
    <w:p>
      <w:pPr>
        <w:numPr>
          <w:ilvl w:val="0"/>
          <w:numId w:val="4"/>
        </w:numPr>
        <w:jc w:val="left"/>
        <w:ind w:left="720"/>
        <w:ind w:hanging="204"/>
        <w:spacing w:after="240"/>
      </w:pPr>
      <w:hyperlink w:history="1" r:id="rId12">
        <w:r>
          <w:rPr>
            <w:u w:val="single" w:color="0000EE"/>
            <w:color w:val="0000EE"/>
          </w:rPr>
          <w:t>Bug Bounties</w:t>
        </w:r>
      </w:hyperlink>
      <w:r>
        <w:t xml:space="preserve"> List of bug bounties in the ecosystem.</w:t>
      </w:r>
    </w:p>
    <w:p>
      <w:pPr>
        <w:spacing w:before="240" w:after="240"/>
      </w:pPr>
      <w:r>
        <w:t>[Points: Clear Pre-requisites/Standards +1 | MAX: 1/1]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Audit Format</w:t>
      </w:r>
    </w:p>
    <w:p>
      <w:pPr>
        <w:numPr>
          <w:ilvl w:val="0"/>
          <w:numId w:val="5"/>
        </w:numPr>
        <w:jc w:val="left"/>
        <w:ind w:left="720"/>
        <w:ind w:hanging="204"/>
        <w:spacing w:before="240"/>
      </w:pPr>
      <w:r>
        <w:rPr>
          <w:bCs/>
          <w:b/>
          <w:u w:val="single"/>
        </w:rPr>
        <w:t>Executive Summary</w:t>
      </w:r>
    </w:p>
    <w:p>
      <w:pPr>
        <w:numPr>
          <w:ilvl w:val="0"/>
          <w:numId w:val="5"/>
        </w:numPr>
        <w:jc w:val="left"/>
        <w:ind w:left="720"/>
        <w:ind w:hanging="204"/>
        <w:spacing w:after="240"/>
      </w:pPr>
      <w:r>
        <w:rPr>
          <w:bCs/>
          <w:b/>
          <w:u w:val="single"/>
        </w:rPr>
        <w:t>Scope</w:t>
      </w:r>
    </w:p>
    <w:p>
      <w:pPr>
        <w:spacing w:before="240" w:after="240"/>
      </w:pPr>
      <w:r>
        <w:t>-Identify files</w:t>
      </w:r>
    </w:p>
    <w:p>
      <w:pPr>
        <w:spacing w:before="240" w:after="240"/>
      </w:pPr>
      <w:r>
        <w:t>-Objectives of the audit</w:t>
      </w:r>
    </w:p>
    <w:p>
      <w:pPr>
        <w:numPr>
          <w:ilvl w:val="0"/>
          <w:numId w:val="6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System Overview</w:t>
      </w:r>
    </w:p>
    <w:p>
      <w:pPr>
        <w:spacing w:before="240" w:after="240"/>
      </w:pPr>
      <w:r>
        <w:t>-Diagrams and breakdown of the system in question</w:t>
      </w:r>
    </w:p>
    <w:p>
      <w:pPr>
        <w:numPr>
          <w:ilvl w:val="0"/>
          <w:numId w:val="7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Document Change Log</w:t>
      </w:r>
    </w:p>
    <w:p>
      <w:pPr>
        <w:spacing w:before="240" w:after="240"/>
      </w:pPr>
      <w:r>
        <w:t>-Changes to documents/reports</w:t>
      </w:r>
    </w:p>
    <w:p>
      <w:pPr>
        <w:numPr>
          <w:ilvl w:val="0"/>
          <w:numId w:val="8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Recommendations</w:t>
      </w:r>
    </w:p>
    <w:p>
      <w:pPr>
        <w:spacing w:before="240" w:after="240"/>
      </w:pPr>
      <w:r>
        <w:t>-Recommendations about the code and changes to be made</w:t>
      </w:r>
    </w:p>
    <w:p>
      <w:pPr>
        <w:numPr>
          <w:ilvl w:val="0"/>
          <w:numId w:val="9"/>
        </w:numPr>
        <w:jc w:val="left"/>
        <w:ind w:left="720"/>
        <w:ind w:hanging="204"/>
        <w:spacing w:before="240"/>
      </w:pPr>
      <w:r>
        <w:rPr>
          <w:bCs/>
          <w:b/>
          <w:u w:val="single"/>
        </w:rPr>
        <w:t>Security Specifications</w:t>
      </w:r>
    </w:p>
    <w:p>
      <w:pPr>
        <w:numPr>
          <w:ilvl w:val="0"/>
          <w:numId w:val="9"/>
        </w:numPr>
        <w:jc w:val="left"/>
        <w:ind w:left="720"/>
        <w:ind w:hanging="204"/>
        <w:spacing w:after="240"/>
      </w:pPr>
      <w:r>
        <w:rPr>
          <w:bCs/>
          <w:b/>
          <w:u w:val="single"/>
        </w:rPr>
        <w:t>Issues</w:t>
      </w:r>
    </w:p>
    <w:p>
      <w:pPr>
        <w:spacing w:before="240" w:after="240"/>
      </w:pPr>
      <w:r>
        <w:t>-Highlights security issues</w:t>
      </w:r>
    </w:p>
    <w:p>
      <w:pPr>
        <w:numPr>
          <w:ilvl w:val="0"/>
          <w:numId w:val="10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Appendix</w:t>
      </w:r>
    </w:p>
    <w:p>
      <w:pPr>
        <w:numPr>
          <w:ilvl w:val="0"/>
          <w:numId w:val="11"/>
        </w:numPr>
        <w:jc w:val="left"/>
        <w:ind w:left="720"/>
        <w:ind w:hanging="280"/>
        <w:spacing w:before="240"/>
      </w:pPr>
      <w:r>
        <w:t>Files in scope</w:t>
      </w:r>
    </w:p>
    <w:p>
      <w:pPr>
        <w:numPr>
          <w:ilvl w:val="0"/>
          <w:numId w:val="11"/>
        </w:numPr>
        <w:jc w:val="left"/>
        <w:ind w:left="720"/>
        <w:ind w:hanging="280"/>
      </w:pPr>
      <w:r>
        <w:t xml:space="preserve">Artifacts (Automated tool analysis, test suites etc.) </w:t>
      </w:r>
    </w:p>
    <w:p>
      <w:pPr>
        <w:numPr>
          <w:ilvl w:val="0"/>
          <w:numId w:val="11"/>
        </w:numPr>
        <w:jc w:val="left"/>
        <w:ind w:left="720"/>
        <w:ind w:hanging="280"/>
        <w:spacing w:after="240"/>
      </w:pPr>
      <w:r>
        <w:t>Disclosure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Popular Reports</w:t>
      </w:r>
    </w:p>
    <w:p>
      <w:pPr>
        <w:numPr>
          <w:ilvl w:val="0"/>
          <w:numId w:val="12"/>
        </w:numPr>
        <w:jc w:val="left"/>
        <w:ind w:left="720"/>
        <w:ind w:hanging="204"/>
        <w:spacing w:before="240"/>
      </w:pPr>
      <w:hyperlink w:history="1" r:id="rId13">
        <w:r>
          <w:rPr>
            <w:u w:val="single" w:color="0000EE"/>
            <w:color w:val="0000EE"/>
          </w:rPr>
          <w:t>Aave</w:t>
        </w:r>
      </w:hyperlink>
      <w:r>
        <w:t xml:space="preserve"> (</w:t>
      </w:r>
      <w:hyperlink w:history="1" r:id="rId14">
        <w:r>
          <w:rPr>
            <w:u w:val="single" w:color="0000EE"/>
            <w:color w:val="0000EE"/>
          </w:rPr>
          <w:t>Token Contract</w:t>
        </w:r>
      </w:hyperlink>
      <w:r>
        <w:t>)</w:t>
      </w:r>
    </w:p>
    <w:p>
      <w:pPr>
        <w:numPr>
          <w:ilvl w:val="0"/>
          <w:numId w:val="12"/>
        </w:numPr>
        <w:jc w:val="left"/>
        <w:ind w:left="720"/>
        <w:ind w:hanging="204"/>
      </w:pPr>
      <w:hyperlink w:history="1" r:id="rId15">
        <w:r>
          <w:rPr>
            <w:u w:val="single" w:color="0000EE"/>
            <w:color w:val="0000EE"/>
          </w:rPr>
          <w:t>Amp</w:t>
        </w:r>
      </w:hyperlink>
      <w:r>
        <w:t xml:space="preserve"> (</w:t>
      </w:r>
      <w:hyperlink w:history="1" r:id="rId16">
        <w:r>
          <w:rPr>
            <w:u w:val="single" w:color="0000EE"/>
            <w:color w:val="0000EE"/>
          </w:rPr>
          <w:t>Token &amp; Flexa Collateral Manager</w:t>
        </w:r>
      </w:hyperlink>
      <w:r>
        <w:t>)</w:t>
      </w:r>
    </w:p>
    <w:p>
      <w:pPr>
        <w:numPr>
          <w:ilvl w:val="0"/>
          <w:numId w:val="12"/>
        </w:numPr>
        <w:jc w:val="left"/>
        <w:ind w:left="720"/>
        <w:ind w:hanging="204"/>
      </w:pPr>
      <w:hyperlink w:history="1" r:id="rId17">
        <w:r>
          <w:rPr>
            <w:u w:val="single" w:color="0000EE"/>
            <w:color w:val="0000EE"/>
          </w:rPr>
          <w:t>Balancer Finance</w:t>
        </w:r>
      </w:hyperlink>
      <w:r>
        <w:t xml:space="preserve"> (</w:t>
      </w:r>
      <w:hyperlink w:history="1" r:id="rId18">
        <w:r>
          <w:rPr>
            <w:u w:val="single" w:color="0000EE"/>
            <w:color w:val="0000EE"/>
          </w:rPr>
          <w:t>Security Assessment</w:t>
        </w:r>
      </w:hyperlink>
      <w:r>
        <w:t>)</w:t>
      </w:r>
    </w:p>
    <w:p>
      <w:pPr>
        <w:numPr>
          <w:ilvl w:val="0"/>
          <w:numId w:val="12"/>
        </w:numPr>
        <w:jc w:val="left"/>
        <w:ind w:left="720"/>
        <w:ind w:hanging="204"/>
      </w:pPr>
      <w:hyperlink w:history="1" r:id="rId19">
        <w:r>
          <w:rPr>
            <w:u w:val="single" w:color="0000EE"/>
            <w:color w:val="0000EE"/>
          </w:rPr>
          <w:t>Orchid Network Protocol</w:t>
        </w:r>
      </w:hyperlink>
      <w:r>
        <w:t xml:space="preserve"> (</w:t>
      </w:r>
      <w:hyperlink w:history="1" r:id="rId20">
        <w:r>
          <w:rPr>
            <w:u w:val="single" w:color="0000EE"/>
            <w:color w:val="0000EE"/>
          </w:rPr>
          <w:t>Security Audit</w:t>
        </w:r>
      </w:hyperlink>
      <w:r>
        <w:t>)</w:t>
      </w:r>
    </w:p>
    <w:p>
      <w:pPr>
        <w:numPr>
          <w:ilvl w:val="0"/>
          <w:numId w:val="12"/>
        </w:numPr>
        <w:jc w:val="left"/>
        <w:ind w:left="720"/>
        <w:ind w:hanging="204"/>
        <w:spacing w:after="240"/>
      </w:pPr>
      <w:hyperlink w:history="1" r:id="rId21">
        <w:r>
          <w:rPr>
            <w:u w:val="single" w:color="0000EE"/>
            <w:color w:val="0000EE"/>
          </w:rPr>
          <w:t>The LAO</w:t>
        </w:r>
      </w:hyperlink>
      <w:r>
        <w:t xml:space="preserve"> (</w:t>
      </w:r>
      <w:hyperlink w:anchor="whitelist-proposal-duplicate" w:history="1" r:id="rId22">
        <w:r>
          <w:rPr>
            <w:u w:val="single" w:color="0000EE"/>
            <w:color w:val="0000EE"/>
          </w:rPr>
          <w:t>Security Audit</w:t>
        </w:r>
      </w:hyperlink>
      <w:r>
        <w:t>)</w:t>
      </w:r>
    </w:p>
    <w:p>
      <w:pPr>
        <w:spacing w:before="240" w:after="240"/>
      </w:pPr>
      <w:r>
        <w:t>[Points– Multiple Auditors +1, Industry Lead +1, Structure +1, Clarity +1 &amp; Consistency +1 | MAX: 5/5]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Contact</w:t>
      </w:r>
    </w:p>
    <w:p>
      <w:pPr>
        <w:spacing w:before="240" w:after="240"/>
      </w:pPr>
      <w:r>
        <w:t xml:space="preserve">Website Links: </w:t>
      </w:r>
      <w:hyperlink w:history="1" r:id="rId23">
        <w:r>
          <w:rPr>
            <w:u w:val="single" w:color="0000EE"/>
            <w:color w:val="0000EE"/>
          </w:rPr>
          <w:t>Audits</w:t>
        </w:r>
      </w:hyperlink>
      <w:r>
        <w:t xml:space="preserve">, </w:t>
      </w:r>
      <w:hyperlink w:history="1" r:id="rId24">
        <w:r>
          <w:rPr>
            <w:u w:val="single" w:color="0000EE"/>
            <w:color w:val="0000EE"/>
          </w:rPr>
          <w:t>Blog</w:t>
        </w:r>
      </w:hyperlink>
      <w:r>
        <w:t xml:space="preserve">, </w:t>
      </w:r>
      <w:hyperlink w:history="1" r:id="rId25">
        <w:r>
          <w:rPr>
            <w:u w:val="single" w:color="0000EE"/>
            <w:color w:val="0000EE"/>
          </w:rPr>
          <w:t>Reports</w:t>
        </w:r>
      </w:hyperlink>
      <w:r>
        <w:t xml:space="preserve">, </w:t>
      </w:r>
      <w:hyperlink w:history="1" r:id="rId26">
        <w:r>
          <w:rPr>
            <w:u w:val="single" w:color="0000EE"/>
            <w:color w:val="0000EE"/>
          </w:rPr>
          <w:t>Audit Request</w:t>
        </w:r>
      </w:hyperlink>
      <w:r>
        <w:t xml:space="preserve"> &amp; </w:t>
      </w:r>
      <w:hyperlink w:history="1" r:id="rId27">
        <w:r>
          <w:rPr>
            <w:u w:val="single" w:color="0000EE"/>
            <w:color w:val="0000EE"/>
          </w:rPr>
          <w:t>Research</w:t>
        </w:r>
      </w:hyperlink>
    </w:p>
    <w:p>
      <w:pPr>
        <w:spacing w:before="240" w:after="240"/>
      </w:pPr>
      <w:r>
        <w:t xml:space="preserve">Twitter: </w:t>
      </w:r>
      <w:hyperlink w:history="1" r:id="rId28">
        <w:r>
          <w:rPr>
            <w:u w:val="single" w:color="0000EE"/>
            <w:color w:val="0000EE"/>
          </w:rPr>
          <w:t>@ConsenSysAudits</w:t>
        </w:r>
      </w:hyperlink>
    </w:p>
    <w:p>
      <w:pPr>
        <w:spacing w:before="240" w:after="240"/>
      </w:pPr>
      <w:r>
        <w:t xml:space="preserve">Github: </w:t>
      </w:r>
      <w:hyperlink w:history="1" r:id="rId29">
        <w:r>
          <w:rPr>
            <w:u w:val="single" w:color="0000EE"/>
            <w:color w:val="0000EE"/>
          </w:rPr>
          <w:t>ConsenSys Software</w:t>
        </w:r>
      </w:hyperlink>
      <w:r>
        <w:t xml:space="preserve"> (Public)</w:t>
      </w:r>
    </w:p>
    <w:p>
      <w:pPr>
        <w:spacing w:before="240" w:after="240"/>
      </w:pPr>
      <w:r>
        <w:t xml:space="preserve">Discord: </w:t>
      </w:r>
      <w:hyperlink w:history="1" r:id="rId30">
        <w:r>
          <w:rPr>
            <w:u w:val="single" w:color="0000EE"/>
            <w:color w:val="0000EE"/>
          </w:rPr>
          <w:t>Public</w:t>
        </w:r>
      </w:hyperlink>
      <w:r>
        <w:t xml:space="preserve"> (Active)</w:t>
      </w:r>
    </w:p>
    <w:p>
      <w:pPr>
        <w:spacing w:before="240" w:after="240"/>
      </w:pPr>
      <w:r>
        <w:t>[Points– Public Profiles; Transparency +1, Community Discord/Telegram/Reddit +1 | MAX: 2/2]</w:t>
      </w:r>
    </w:p>
    <w:p>
      <w:pPr>
        <w:spacing w:before="240" w:after="240"/>
      </w:pPr>
      <w:r>
        <w:t>[</w:t>
      </w:r>
      <w:r>
        <w:rPr>
          <w:bCs/>
          <w:b/>
        </w:rPr>
        <w:t>Points total: 10/10</w:t>
      </w:r>
      <w:r>
        <w:t>]</w:t>
      </w:r>
    </w:p>
    <w:p>
      <w:pPr>
        <w:spacing w:before="240" w:after="240"/>
      </w:pPr>
    </w:p>
    <w:sectPr>
      <w:pgMar w:left="1440" w:right="1440" w:top="1440" w:bottom="1440" w:header="708" w:footer="708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mbria"/>
  <w:font w:name="Calibri"/>
  <w:font w:name="Symbol"/>
  <w:font w:name="Courier New"/>
  <w:font w:name="Wingdings"/>
  <w:font w:name="Times New Roman"/>
  <w:font w:name="Calibri Light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1"/>
    <w:tmpl w:val="00000001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0000002"/>
    <w:tmpl w:val="00000002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0000003"/>
    <w:tmpl w:val="00000003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">
    <w:multiLevelType w:val="hybridMultilevel"/>
    <w:nsid w:val="00000004"/>
    <w:tmpl w:val="00000004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4">
    <w:multiLevelType w:val="hybridMultilevel"/>
    <w:nsid w:val="00000005"/>
    <w:tmpl w:val="00000005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5">
    <w:multiLevelType w:val="hybridMultilevel"/>
    <w:nsid w:val="00000006"/>
    <w:tmpl w:val="00000006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6">
    <w:multiLevelType w:val="hybridMultilevel"/>
    <w:nsid w:val="00000007"/>
    <w:tmpl w:val="00000007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7">
    <w:multiLevelType w:val="hybridMultilevel"/>
    <w:nsid w:val="00000008"/>
    <w:tmpl w:val="00000008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8">
    <w:multiLevelType w:val="hybridMultilevel"/>
    <w:nsid w:val="00000009"/>
    <w:tmpl w:val="00000009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9">
    <w:multiLevelType w:val="hybridMultilevel"/>
    <w:nsid w:val="0000000A"/>
    <w:tmpl w:val="0000000A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">
    <w:multiLevelType w:val="hybridMultilevel"/>
    <w:nsid w:val="0000000B"/>
    <w:tmpl w:val="0000000B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11">
    <w:multiLevelType w:val="hybridMultilevel"/>
    <w:nsid w:val="0000000C"/>
    <w:tmpl w:val="0000000C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0000000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qFormat/>
    <w:basedOn w:val="Normal"/>
    <w:next w:val="Normal"/>
    <w:link w:val="Heading1Char"/>
    <w:uiPriority w:val="9"/>
    <w:rsid w:val="00506D7A"/>
    <w:pPr>
      <w:keepNext/>
      <w:keepLines/>
      <w:outlineLvl w:val="0"/>
      <w:spacing w:before="240" w:after="0"/>
    </w:pPr>
    <w:rPr>
      <w:bCs/>
      <w:kern w:val="36"/>
      <w:b/>
      <w:i w:val="0"/>
      <w:color w:val="2F5496"/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qFormat/>
    <w:basedOn w:val="Normal"/>
    <w:next w:val="Normal"/>
    <w:link w:val="Heading2Char"/>
    <w:uiPriority w:val="9"/>
    <w:rsid w:val="00506D7A"/>
    <w:pPr>
      <w:keepNext/>
      <w:keepLines/>
      <w:outlineLvl w:val="1"/>
      <w:spacing w:before="40" w:after="0"/>
    </w:pPr>
    <w:rPr>
      <w:bCs/>
      <w:b/>
      <w:i w:val="0"/>
      <w:color w:val="2F5496"/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qFormat/>
    <w:basedOn w:val="Normal"/>
    <w:next w:val="Normal"/>
    <w:link w:val="Heading3Char"/>
    <w:uiPriority w:val="9"/>
    <w:rsid w:val="00506D7A"/>
    <w:pPr>
      <w:keepNext/>
      <w:keepLines/>
      <w:outlineLvl w:val="2"/>
      <w:spacing w:before="40" w:after="0"/>
    </w:pPr>
    <w:rPr>
      <w:bCs/>
      <w:b/>
      <w:i w:val="0"/>
      <w:color w:val="1F3763"/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qFormat/>
    <w:basedOn w:val="Normal"/>
    <w:next w:val="Normal"/>
    <w:link w:val="Heading4Char"/>
    <w:uiPriority w:val="9"/>
    <w:rsid w:val="00506D7A"/>
    <w:pPr>
      <w:keepNext/>
      <w:keepLines/>
      <w:outlineLvl w:val="3"/>
      <w:spacing w:before="40" w:after="0"/>
    </w:pPr>
    <w:rPr>
      <w:bCs/>
      <w:iCs/>
      <w:b/>
      <w:i w:val="0"/>
      <w:color w:val="2F5496"/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qFormat/>
    <w:basedOn w:val="Normal"/>
    <w:next w:val="Normal"/>
    <w:link w:val="Heading5Char"/>
    <w:uiPriority w:val="9"/>
    <w:rsid w:val="00506D7A"/>
    <w:pPr>
      <w:keepNext/>
      <w:keepLines/>
      <w:outlineLvl w:val="4"/>
      <w:spacing w:before="40" w:after="0"/>
    </w:pPr>
    <w:rPr>
      <w:bCs/>
      <w:b/>
      <w:i w:val="0"/>
      <w:color w:val="2F5496"/>
      <w:rFonts w:ascii="Times New Roman" w:cs="Times New Roman" w:eastAsia="Times New Roman" w:hAnsi="Times New Roman"/>
      <w:sz w:val="20"/>
      <w:szCs w:val="20"/>
    </w:rPr>
  </w:style>
  <w:style w:type="paragraph" w:styleId="Heading6">
    <w:name w:val="Heading 6"/>
    <w:qFormat/>
    <w:basedOn w:val="Normal"/>
    <w:next w:val="Normal"/>
    <w:link w:val="Heading6Char"/>
    <w:uiPriority w:val="9"/>
    <w:rsid w:val="00506D7A"/>
    <w:pPr>
      <w:keepNext/>
      <w:keepLines/>
      <w:outlineLvl w:val="5"/>
      <w:spacing w:before="40" w:after="0"/>
    </w:pPr>
    <w:rPr>
      <w:bCs/>
      <w:b/>
      <w:i w:val="0"/>
      <w:color w:val="1F3763"/>
      <w:rFonts w:ascii="Times New Roman" w:cs="Times New Roman" w:eastAsia="Times New Roman" w:hAnsi="Times New Roman"/>
      <w:sz w:val="16"/>
      <w:szCs w:val="16"/>
    </w:rPr>
  </w:style>
  <w:style w:type="character" w:default="1" w:styleId="DefaultParagraphFont">
    <w:name w:val="Default Paragraph Font"/>
    <w:semiHidden/>
  </w:style>
  <w:style w:type="character" w:styleId="Heading1Char">
    <w:name w:val="Heading 1 Char"/>
    <w:basedOn w:val="DefaultParagraphFont"/>
    <w:link w:val="Heading1"/>
    <w:uiPriority w:val="9"/>
    <w:rsid w:val="00506D7A"/>
    <w:rPr>
      <w:color w:val="2F5496"/>
      <w:rFonts w:ascii="Calibri Light" w:cs="Times New Roman" w:eastAsia="Times New Roman" w:hAnsi="Calibri Light"/>
      <w:sz w:val="32"/>
      <w:szCs w:val="32"/>
    </w:rPr>
  </w:style>
  <w:style w:type="character" w:styleId="Heading2Char">
    <w:name w:val="Heading 2 Char"/>
    <w:basedOn w:val="DefaultParagraphFont"/>
    <w:link w:val="Heading2"/>
    <w:uiPriority w:val="9"/>
    <w:rsid w:val="00506D7A"/>
    <w:rPr>
      <w:color w:val="2F5496"/>
      <w:rFonts w:ascii="Calibri Light" w:cs="Times New Roman" w:eastAsia="Times New Roman" w:hAnsi="Calibri Light"/>
      <w:sz w:val="26"/>
      <w:szCs w:val="26"/>
    </w:rPr>
  </w:style>
  <w:style w:type="character" w:styleId="Heading3Char">
    <w:name w:val="Heading 3 Char"/>
    <w:basedOn w:val="DefaultParagraphFont"/>
    <w:link w:val="Heading3"/>
    <w:uiPriority w:val="9"/>
    <w:rsid w:val="00506D7A"/>
    <w:rPr>
      <w:color w:val="1F3763"/>
      <w:rFonts w:ascii="Calibri Light" w:cs="Times New Roman" w:eastAsia="Times New Roman" w:hAnsi="Calibri Light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sid w:val="00506D7A"/>
    <w:rPr>
      <w:iCs/>
      <w:i/>
      <w:color w:val="2F5496"/>
      <w:rFonts w:ascii="Calibri Light" w:cs="Times New Roman" w:eastAsia="Times New Roman" w:hAnsi="Calibri Light"/>
    </w:rPr>
  </w:style>
  <w:style w:type="character" w:styleId="Heading5Char">
    <w:name w:val="Heading 5 Char"/>
    <w:basedOn w:val="DefaultParagraphFont"/>
    <w:link w:val="Heading5"/>
    <w:uiPriority w:val="9"/>
    <w:rsid w:val="00506D7A"/>
    <w:rPr>
      <w:color w:val="2F5496"/>
      <w:rFonts w:ascii="Calibri Light" w:cs="Times New Roman" w:eastAsia="Times New Roman" w:hAnsi="Calibri Light"/>
    </w:rPr>
  </w:style>
  <w:style w:type="character" w:styleId="Heading6Char">
    <w:name w:val="Heading 6 Char"/>
    <w:basedOn w:val="DefaultParagraphFont"/>
    <w:link w:val="Heading6"/>
    <w:uiPriority w:val="9"/>
    <w:rsid w:val="00506D7A"/>
    <w:rPr>
      <w:color w:val="1F3763"/>
      <w:rFonts w:ascii="Calibri Light" w:cs="Times New Roman" w:eastAsia="Times New Roman" w:hAnsi="Calibri Light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="https://consensys.github.io/smart-contract-best-practices/security_tools/" TargetMode="External"/><Relationship Id="rId11" Type="http://schemas.openxmlformats.org/officeDocument/2006/relationships/hyperlink" Target="https://consensys.github.io/smart-contract-best-practices/tokens/" TargetMode="External"/><Relationship Id="rId12" Type="http://schemas.openxmlformats.org/officeDocument/2006/relationships/hyperlink" Target="https://consensys.github.io/smart-contract-best-practices/bug_bounty_list/" TargetMode="External"/><Relationship Id="rId13" Type="http://schemas.openxmlformats.org/officeDocument/2006/relationships/hyperlink" Target="https://aave.com/" TargetMode="External"/><Relationship Id="rId14" Type="http://schemas.openxmlformats.org/officeDocument/2006/relationships/hyperlink" Target="https://consensys.net/diligence/audits/2020/07/aave-token/" TargetMode="External"/><Relationship Id="rId15" Type="http://schemas.openxmlformats.org/officeDocument/2006/relationships/hyperlink" Target="https://amptoken.org/" TargetMode="External"/><Relationship Id="rId16" Type="http://schemas.openxmlformats.org/officeDocument/2006/relationships/hyperlink" Target="https://consensys.net/diligence/audits/2020/06/amp/" TargetMode="External"/><Relationship Id="rId17" Type="http://schemas.openxmlformats.org/officeDocument/2006/relationships/hyperlink" Target="https://balancer.finance/" TargetMode="External"/><Relationship Id="rId18" Type="http://schemas.openxmlformats.org/officeDocument/2006/relationships/hyperlink" Target="https://consensys.net/diligence/audits/2020/05/balancer-finance/" TargetMode="External"/><Relationship Id="rId19" Type="http://schemas.openxmlformats.org/officeDocument/2006/relationships/hyperlink" Target="https://www.orchid.com/" TargetMode="External"/><Relationship Id="rId2" Type="http://schemas.openxmlformats.org/officeDocument/2006/relationships/webSettings" Target="webSettings.xml"/><Relationship Id="rId20" Type="http://schemas.openxmlformats.org/officeDocument/2006/relationships/hyperlink" Target="https://consensys.net/diligence/audits/2019/11/orchid-network-protocol/" TargetMode="External"/><Relationship Id="rId21" Type="http://schemas.openxmlformats.org/officeDocument/2006/relationships/hyperlink" Target="https://www.thelao.io/" TargetMode="External"/><Relationship Id="rId22" Type="http://schemas.openxmlformats.org/officeDocument/2006/relationships/hyperlink" Target="https://consensys.net/diligence/audits/2020/01/the-lao/" TargetMode="External"/><Relationship Id="rId23" Type="http://schemas.openxmlformats.org/officeDocument/2006/relationships/hyperlink" Target="https://consensys.net/diligence/" TargetMode="External"/><Relationship Id="rId24" Type="http://schemas.openxmlformats.org/officeDocument/2006/relationships/hyperlink" Target="https://consensys.net/diligence/blog/" TargetMode="External"/><Relationship Id="rId25" Type="http://schemas.openxmlformats.org/officeDocument/2006/relationships/hyperlink" Target="https://consensys.net/diligence/audits/" TargetMode="External"/><Relationship Id="rId26" Type="http://schemas.openxmlformats.org/officeDocument/2006/relationships/hyperlink" Target="https://consensys.net/diligence/contact/" TargetMode="External"/><Relationship Id="rId27" Type="http://schemas.openxmlformats.org/officeDocument/2006/relationships/hyperlink" Target="https://consensys.net/diligence/research/" TargetMode="External"/><Relationship Id="rId28" Type="http://schemas.openxmlformats.org/officeDocument/2006/relationships/hyperlink" Target="https://twitter.com/ConsenSysAudits" TargetMode="External"/><Relationship Id="rId29" Type="http://schemas.openxmlformats.org/officeDocument/2006/relationships/hyperlink" Target="https://github.com/ConsenSys" TargetMode="External"/><Relationship Id="rId3" Type="http://schemas.openxmlformats.org/officeDocument/2006/relationships/fontTable" Target="fontTable.xml"/><Relationship Id="rId30" Type="http://schemas.openxmlformats.org/officeDocument/2006/relationships/hyperlink" Target="https://discord.gg/bZwrf3x4Vs" TargetMode="External"/><Relationship Id="rId31" Type="http://schemas.openxmlformats.org/officeDocument/2006/relationships/theme" Target="theme/theme1.xml"/><Relationship Id="rId32" Type="http://schemas.openxmlformats.org/officeDocument/2006/relationships/numbering" Target="numbering.xml"/><Relationship Id="rId33" Type="http://schemas.openxmlformats.org/officeDocument/2006/relationships/styles" Target="styles.xml"/><Relationship Id="rId4" Type="http://schemas.openxmlformats.org/officeDocument/2006/relationships/hyperlink" Target="https://consensys.github.io/smart-contract-best-practices/" TargetMode="External"/><Relationship Id="rId5" Type="http://schemas.openxmlformats.org/officeDocument/2006/relationships/hyperlink" Target="https://consensys.github.io/smart-contract-best-practices/general_philosophy/" TargetMode="External"/><Relationship Id="rId6" Type="http://schemas.openxmlformats.org/officeDocument/2006/relationships/hyperlink" Target="https://consensys.github.io/smart-contract-best-practices/recommendations/" TargetMode="External"/><Relationship Id="rId7" Type="http://schemas.openxmlformats.org/officeDocument/2006/relationships/hyperlink" Target="https://consensys.github.io/smart-contract-best-practices/known_attacks/" TargetMode="External"/><Relationship Id="rId8" Type="http://schemas.openxmlformats.org/officeDocument/2006/relationships/hyperlink" Target="https://consensys.github.io/smart-contract-best-practices/software_engineering/" TargetMode="External"/><Relationship Id="rId9" Type="http://schemas.openxmlformats.org/officeDocument/2006/relationships/hyperlink" Target="https://consensys.github.io/smart-contract-best-practices/documentation_proced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