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jpeg" ContentType="image/jpeg"/>
  <Default Extension="png" ContentType="image/png"/>
  <Default Extension="tiff" ContentType="image/tiff"/>
  <Default Extension="gif" ContentType="image/gif"/>
  <Default Extension="bin" ContentType="application/vnd.openxmlformats-officedocument.oleObject"/>
  <Default Extension="wmf" ContentType="image/x-wmf"/>
  <Default Extension="emf" ContentType="image/x-emf"/>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R="00000000" w:rsidDel="00000000" w:rsidRDefault="00000000" w14:paraId="00000001" w:rsidP="00000000" w:rsidRPr="00000000">
      <w:pPr>
        <w:keepNext w:val="0"/>
        <w:keepLines w:val="0"/>
        <w:pStyle w:val="Heading1"/>
        <w:spacing w:before="0" w:after="322"/>
        <w:rPr>
          <w:b/>
          <w:sz w:val="48"/>
          <w:szCs w:val="48"/>
        </w:rPr>
      </w:pPr>
      <w:r w:rsidR="00000000" w:rsidDel="00000000" w:rsidRPr="00000000">
        <w:rPr>
          <w:rtl w:val="0"/>
          <w:i w:val="0"/>
          <w:color w:val="000000"/>
          <w:rFonts w:ascii="Times New Roman" w:cs="Times New Roman" w:eastAsia="Times New Roman" w:hAnsi="Times New Roman"/>
        </w:rPr>
        <w:t>Introduction</w:t>
      </w:r>
      <w:r w:rsidR="00000000" w:rsidDel="00000000" w:rsidRPr="00000000">
        <w:rPr>
          <w:rtl w:val="0"/>
        </w:rPr>
      </w:r>
    </w:p>
    <w:p w:rsidR="00000000" w:rsidDel="00000000" w:rsidRDefault="00000000" w14:paraId="00000002" w:rsidP="00000000" w:rsidRPr="00000000">
      <w:pPr>
        <w:keepNext w:val="0"/>
        <w:keepLines w:val="0"/>
        <w:pStyle w:val="Heading2"/>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Summary</w:t>
      </w:r>
      <w:r w:rsidR="00000000" w:rsidDel="00000000" w:rsidRPr="00000000">
        <w:rPr>
          <w:rtl w:val="0"/>
        </w:rPr>
      </w:r>
    </w:p>
    <w:p w:rsidR="00000000" w:rsidDel="00000000" w:rsidRDefault="00000000" w14:paraId="00000003" w:rsidP="00000000" w:rsidRPr="00000000">
      <w:pPr>
        <w:spacing w:before="240" w:after="240"/>
      </w:pPr>
      <w:r w:rsidR="00000000" w:rsidDel="00000000" w:rsidRPr="00000000">
        <w:rPr>
          <w:rtl w:val="0"/>
        </w:rPr>
        <w:t>Below is a decision tree, chart and safety checklist for investors seeking a safe and respectable smart contract with clearly outlined vulnerabilities and risks. The following tables and methods allow for an easy way to categorize risks involved with smart contracts and whether or not a protocol or project is safe– when investing funds.</w:t>
      </w:r>
    </w:p>
    <w:p w:rsidR="00000000" w:rsidDel="00000000" w:rsidRDefault="00000000" w14:paraId="00000004" w:rsidP="00000000" w:rsidRPr="00000000">
      <w:pPr>
        <w:spacing w:before="240" w:after="240"/>
      </w:pPr>
      <w:r w:rsidR="00000000" w:rsidDel="00000000" w:rsidRPr="00000000">
        <w:rPr>
          <w:rtl w:val="0"/>
        </w:rPr>
        <w:t>Audit firms receive a score out of ten. The following firms can be considered transparent and standard for the industry. Standardized audit firms follow best practices when– the audit process and format are transparent, standards/prerequisites are available, and the firms are easily contactable.</w:t>
      </w:r>
    </w:p>
    <w:p w:rsidR="00000000" w:rsidDel="00000000" w:rsidRDefault="00000000" w14:paraId="00000005" w:rsidP="00000000" w:rsidRPr="00000000">
      <w:pPr>
        <w:numPr>
          <w:ilvl w:val="0"/>
          <w:numId w:val="3"/>
        </w:numPr>
        <w:jc w:val="left"/>
        <w:ind w:left="720"/>
        <w:ind w:hanging="204"/>
        <w:spacing w:before="240"/>
      </w:pPr>
      <w:r w:rsidR="00000000" w:rsidDel="00000000" w:rsidRPr="00000000">
        <w:rPr>
          <w:rtl w:val="0"/>
        </w:rPr>
        <w:t>OpenZeppelin (10)</w:t>
      </w:r>
    </w:p>
    <w:p w:rsidR="00000000" w:rsidDel="00000000" w:rsidRDefault="00000000" w14:paraId="00000006" w:rsidP="00000000" w:rsidRPr="00000000">
      <w:pPr>
        <w:numPr>
          <w:ilvl w:val="0"/>
          <w:numId w:val="3"/>
        </w:numPr>
        <w:jc w:val="left"/>
        <w:ind w:left="720"/>
        <w:ind w:hanging="204"/>
      </w:pPr>
      <w:r w:rsidR="00000000" w:rsidDel="00000000" w:rsidRPr="00000000">
        <w:rPr>
          <w:rtl w:val="0"/>
        </w:rPr>
        <w:t>QuantStamp (10)</w:t>
      </w:r>
    </w:p>
    <w:p w:rsidR="00000000" w:rsidDel="00000000" w:rsidRDefault="00000000" w14:paraId="00000007" w:rsidP="00000000" w:rsidRPr="00000000">
      <w:pPr>
        <w:numPr>
          <w:ilvl w:val="0"/>
          <w:numId w:val="3"/>
        </w:numPr>
        <w:jc w:val="left"/>
        <w:ind w:left="720"/>
        <w:ind w:hanging="204"/>
      </w:pPr>
      <w:r w:rsidR="00000000" w:rsidDel="00000000" w:rsidRPr="00000000">
        <w:rPr>
          <w:rtl w:val="0"/>
        </w:rPr>
        <w:t>PeckShield (10)</w:t>
      </w:r>
    </w:p>
    <w:p w:rsidR="00000000" w:rsidDel="00000000" w:rsidRDefault="00000000" w14:paraId="00000008" w:rsidP="00000000" w:rsidRPr="00000000">
      <w:pPr>
        <w:numPr>
          <w:ilvl w:val="0"/>
          <w:numId w:val="3"/>
        </w:numPr>
        <w:jc w:val="left"/>
        <w:ind w:left="720"/>
        <w:ind w:hanging="204"/>
      </w:pPr>
      <w:r w:rsidR="00000000" w:rsidDel="00000000" w:rsidRPr="00000000">
        <w:rPr>
          <w:rtl w:val="0"/>
        </w:rPr>
        <w:t>Haechi (10)</w:t>
      </w:r>
    </w:p>
    <w:p w:rsidR="00000000" w:rsidDel="00000000" w:rsidRDefault="00000000" w14:paraId="00000009" w:rsidP="00000000" w:rsidRPr="00000000">
      <w:pPr>
        <w:numPr>
          <w:ilvl w:val="0"/>
          <w:numId w:val="3"/>
        </w:numPr>
        <w:jc w:val="left"/>
        <w:ind w:left="720"/>
        <w:ind w:hanging="204"/>
      </w:pPr>
      <w:r w:rsidR="00000000" w:rsidDel="00000000" w:rsidRPr="00000000">
        <w:rPr>
          <w:rtl w:val="0"/>
        </w:rPr>
        <w:t>Certik (10)</w:t>
      </w:r>
    </w:p>
    <w:p w:rsidR="00000000" w:rsidDel="00000000" w:rsidRDefault="00000000" w14:paraId="0000000A" w:rsidP="00000000" w:rsidRPr="00000000">
      <w:pPr>
        <w:numPr>
          <w:ilvl w:val="0"/>
          <w:numId w:val="3"/>
        </w:numPr>
        <w:jc w:val="left"/>
        <w:ind w:left="720"/>
        <w:ind w:hanging="204"/>
        <w:spacing w:after="240"/>
      </w:pPr>
      <w:r w:rsidR="00000000" w:rsidDel="00000000" w:rsidRPr="00000000">
        <w:rPr>
          <w:rtl w:val="0"/>
        </w:rPr>
        <w:t>ConsenSys Diligence (10)</w:t>
      </w:r>
    </w:p>
    <w:p w:rsidR="00000000" w:rsidDel="00000000" w:rsidRDefault="00000000" w14:paraId="0000000B" w:rsidP="00000000" w:rsidRPr="00000000">
      <w:pPr>
        <w:spacing w:before="240" w:after="240"/>
      </w:pPr>
      <w:r w:rsidR="00000000" w:rsidDel="00000000" w:rsidRPr="00000000">
        <w:rPr>
          <w:rtl w:val="0"/>
          <w:i/>
        </w:rPr>
        <w:t>Scores for Audit firms get based on readability, searchability, transparency (public profiles), activity, social impact/status &amp; overall documentation available.</w:t>
      </w:r>
      <w:r w:rsidR="00000000" w:rsidDel="00000000" w:rsidRPr="00000000">
        <w:rPr>
          <w:rtl w:val="0"/>
        </w:rPr>
      </w:r>
    </w:p>
    <w:p w:rsidR="00000000" w:rsidDel="00000000" w:rsidRDefault="00000000" w14:paraId="0000000C" w:rsidP="00000000" w:rsidRPr="00000000">
      <w:pPr>
        <w:spacing w:before="240" w:after="240"/>
      </w:pPr>
      <w:r w:rsidR="00000000" w:rsidDel="00000000" w:rsidRPr="00000000">
        <w:rPr>
          <w:rtl w:val="0"/>
        </w:rPr>
        <w:t>The scoring system makes the following tables and charts more sensible.</w:t>
      </w:r>
    </w:p>
    <w:p w:rsidR="00000000" w:rsidDel="00000000" w:rsidRDefault="00000000" w14:paraId="0000000D" w:rsidP="00000000" w:rsidRPr="00000000">
      <w:pPr>
        <w:keepNext w:val="0"/>
        <w:keepLines w:val="0"/>
        <w:pStyle w:val="Heading3"/>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Research Methods</w:t>
      </w:r>
      <w:r w:rsidR="00000000" w:rsidDel="00000000" w:rsidRPr="00000000">
        <w:rPr>
          <w:rtl w:val="0"/>
        </w:rPr>
      </w:r>
    </w:p>
    <w:p w:rsidR="00000000" w:rsidDel="00000000" w:rsidRDefault="00000000" w14:paraId="0000000E" w:rsidP="00000000" w:rsidRPr="00000000">
      <w:pPr>
        <w:spacing w:before="240" w:after="240"/>
      </w:pPr>
      <w:r w:rsidR="00000000" w:rsidDel="00000000" w:rsidRPr="00000000">
        <w:rPr>
          <w:rtl w:val="0"/>
        </w:rPr>
        <w:t>Research methods used were: Detailed analysis with manual searches, complete with graphs, charts, tables and checklists.</w:t>
      </w:r>
    </w:p>
    <w:p w:rsidR="00000000" w:rsidDel="00000000" w:rsidRDefault="00000000" w14:paraId="0000000F" w:rsidP="00000000" w:rsidRPr="00000000">
      <w:pPr>
        <w:keepNext w:val="0"/>
        <w:keepLines w:val="0"/>
        <w:pStyle w:val="Heading3"/>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Researcher</w:t>
      </w:r>
      <w:r w:rsidR="00000000" w:rsidDel="00000000" w:rsidRPr="00000000">
        <w:rPr>
          <w:rtl w:val="0"/>
        </w:rPr>
      </w:r>
    </w:p>
    <w:p w:rsidR="00000000" w:rsidDel="00000000" w:rsidRDefault="00000000" w14:paraId="00000010" w:rsidP="00000000" w:rsidRPr="00000000">
      <w:pPr>
        <w:spacing w:before="299" w:after="299"/>
        <w:rPr>
          <w:color w:val="000000"/>
        </w:rPr>
      </w:pPr>
      <w:r w:rsidR="00000000" w:rsidDel="00000000" w:rsidRPr="00000000">
        <w:rPr>
          <w:rtl w:val="0"/>
          <w:color w:val="000000"/>
        </w:rPr>
        <w:t>Rayne L.</w:t>
      </w:r>
      <w:r/>
    </w:p>
    <w:p w:rsidR="00000000" w:rsidDel="00000000" w:rsidRDefault="00000000" w14:paraId="00000014" w:rsidP="00000000" w:rsidRPr="00000000">
      <w:pPr/>
      <w:r w:rsidR="00000000" w:rsidDel="00000000" w:rsidRPr="00000000">
        <w:rPr>
          <w:rtl w:val="0"/>
        </w:rPr>
      </w:r>
    </w:p>
    <w:p w:rsidR="00000000" w:rsidDel="00000000" w:rsidRDefault="00000000" w14:paraId="00000015" w:rsidP="00000000" w:rsidRPr="00000000">
      <w:pPr>
        <w:pStyle w:val="Heading1"/>
        <w:spacing w:before="322" w:after="322"/>
        <w:rPr>
          <w:color w:val="000000"/>
        </w:rPr>
      </w:pPr>
      <w:bookmarkStart w:colFirst="0" w:colLast="0" w:name="_wq8wxj8pmon5" w:id="0"/>
      <w:bookmarkEnd w:id="0"/>
      <w:r w:rsidR="00000000" w:rsidDel="00000000" w:rsidRPr="00000000">
        <w:rPr>
          <w:rtl w:val="0"/>
          <w:color w:val="000000"/>
        </w:rPr>
        <w:t>BREAKDOWN: Point System</w:t>
      </w:r>
    </w:p>
    <w:p w:rsidR="00000000" w:rsidDel="00000000" w:rsidRDefault="00000000" w14:paraId="00000016" w:rsidP="00000000" w:rsidRPr="00000000">
      <w:pPr>
        <w:keepNext w:val="0"/>
        <w:keepLines w:val="0"/>
        <w:spacing w:before="322" w:after="322"/>
      </w:pPr>
      <w:r w:rsidR="00000000" w:rsidDel="00000000" w:rsidRPr="00000000">
        <w:rPr>
          <w:rtl w:val="0"/>
        </w:rPr>
        <w:t>Point System– Standardized via Open Zeppelin's audit procedure. Max attainable points are 10. OpenZeppelin currently creates the benchmark for audit firms with the max attainable points. The highlighted firms above represent the notable '6' in security audits for codebase across the blockchain networks.</w:t>
      </w:r>
    </w:p>
    <w:p w:rsidR="00000000" w:rsidDel="00000000" w:rsidRDefault="00000000" w14:paraId="00000017" w:rsidP="00000000" w:rsidRPr="00000000">
      <w:pPr>
        <w:pStyle w:val="Subtitle"/>
        <w:spacing w:before="322" w:after="322"/>
        <w:rPr>
          <w:color w:val="000000"/>
        </w:rPr>
      </w:pPr>
      <w:bookmarkStart w:colFirst="0" w:colLast="0" w:name="_smcef6vuukz3" w:id="1"/>
      <w:bookmarkEnd w:id="1"/>
      <w:r w:rsidR="00000000" w:rsidDel="00000000" w:rsidRPr="00000000">
        <w:rPr>
          <w:rtl w:val="0"/>
          <w:color w:val="000000"/>
        </w:rPr>
        <w:t>Maximum Points: 10 (Standardized Firm)</w:t>
      </w:r>
    </w:p>
    <w:p>
      <w:pPr>
        <w:pStyle w:val="Subtitle"/>
        <w:spacing w:before="322" w:after="322"/>
      </w:pPr>
      <w:r>
        <w:t>Minimum Points: 8 (Recognized Firm)</w:t>
      </w:r>
    </w:p>
    <w:p w:rsidR="00000000" w:rsidDel="00000000" w:rsidRDefault="00000000" w14:paraId="00000019" w:rsidP="00000000" w:rsidRPr="00000000">
      <w:pPr>
        <w:pStyle w:val="Heading3"/>
        <w:spacing w:before="322" w:after="322"/>
        <w:rPr>
          <w:color w:val="000000"/>
        </w:rPr>
      </w:pPr>
      <w:bookmarkStart w:colFirst="0" w:colLast="0" w:name="_pemibb5iyruv" w:id="2"/>
      <w:bookmarkEnd w:id="2"/>
      <w:r w:rsidR="00000000" w:rsidDel="00000000" w:rsidRPr="00000000">
        <w:rPr>
          <w:rtl w:val="0"/>
          <w:color w:val="000000"/>
        </w:rPr>
        <w:t xml:space="preserve">Audit Process– 2 possible points. </w:t>
      </w:r>
    </w:p>
    <w:p w:rsidR="00000000" w:rsidDel="00000000" w:rsidRDefault="00000000" w14:paraId="0000001A" w:rsidP="00000000" w:rsidRPr="00000000">
      <w:pPr>
        <w:keepNext w:val="0"/>
        <w:keepLines w:val="0"/>
        <w:numPr>
          <w:ilvl w:val="0"/>
          <w:numId w:val="1"/>
        </w:numPr>
        <w:ind w:left="720"/>
        <w:ind w:hanging="360"/>
        <w:spacing w:before="322" w:after="0" w:afterAutospacing="0"/>
      </w:pPr>
      <w:r w:rsidR="00000000" w:rsidDel="00000000" w:rsidRPr="00000000">
        <w:rPr>
          <w:rtl w:val="0"/>
        </w:rPr>
        <w:t>Clear +1 (Concise)</w:t>
      </w:r>
    </w:p>
    <w:p w:rsidR="00000000" w:rsidDel="00000000" w:rsidRDefault="00000000" w14:paraId="0000001B" w:rsidP="00000000" w:rsidRPr="00000000">
      <w:pPr>
        <w:keepNext w:val="0"/>
        <w:keepLines w:val="0"/>
        <w:numPr>
          <w:ilvl w:val="0"/>
          <w:numId w:val="1"/>
        </w:numPr>
        <w:ind w:left="720"/>
        <w:ind w:hanging="360"/>
        <w:spacing w:before="0" w:beforeAutospacing="0" w:after="322"/>
      </w:pPr>
      <w:r w:rsidR="00000000" w:rsidDel="00000000" w:rsidRPr="00000000">
        <w:rPr>
          <w:rtl w:val="0"/>
        </w:rPr>
        <w:t>Formal +1 (Standard)</w:t>
      </w:r>
    </w:p>
    <w:p w:rsidR="00000000" w:rsidDel="00000000" w:rsidRDefault="00000000" w14:paraId="0000001C" w:rsidP="00000000" w:rsidRPr="00000000">
      <w:pPr>
        <w:pStyle w:val="Heading3"/>
        <w:spacing w:before="322" w:after="322"/>
        <w:rPr>
          <w:color w:val="000000"/>
        </w:rPr>
      </w:pPr>
      <w:bookmarkStart w:colFirst="0" w:colLast="0" w:name="_y0qj315ry92q" w:id="3"/>
      <w:bookmarkEnd w:id="3"/>
      <w:r w:rsidR="00000000" w:rsidDel="00000000" w:rsidRPr="00000000">
        <w:rPr>
          <w:rtl w:val="0"/>
          <w:color w:val="000000"/>
        </w:rPr>
        <w:t>Pre-Audit Checklist/Standards– 1 possible point.</w:t>
      </w:r>
    </w:p>
    <w:p w:rsidR="00000000" w:rsidDel="00000000" w:rsidRDefault="00000000" w14:paraId="0000001D" w:rsidP="00000000" w:rsidRPr="00000000">
      <w:pPr>
        <w:keepNext w:val="0"/>
        <w:keepLines w:val="0"/>
        <w:numPr>
          <w:ilvl w:val="0"/>
          <w:numId w:val="5"/>
        </w:numPr>
        <w:ind w:left="720"/>
        <w:ind w:hanging="360"/>
        <w:spacing w:before="322" w:after="322"/>
      </w:pPr>
      <w:r w:rsidR="00000000" w:rsidDel="00000000" w:rsidRPr="00000000">
        <w:rPr>
          <w:rtl w:val="0"/>
        </w:rPr>
        <w:t>Clear +1  (Available + Easy to follow)</w:t>
      </w:r>
    </w:p>
    <w:p w:rsidR="00000000" w:rsidDel="00000000" w:rsidRDefault="00000000" w14:paraId="0000001E" w:rsidP="00000000" w:rsidRPr="00000000">
      <w:pPr>
        <w:pStyle w:val="Heading3"/>
        <w:spacing w:before="322" w:after="322"/>
        <w:rPr>
          <w:color w:val="000000"/>
        </w:rPr>
      </w:pPr>
      <w:bookmarkStart w:colFirst="0" w:colLast="0" w:name="_cxls5uwt4n96" w:id="4"/>
      <w:bookmarkEnd w:id="4"/>
      <w:r w:rsidR="00000000" w:rsidDel="00000000" w:rsidRPr="00000000">
        <w:rPr>
          <w:rtl w:val="0"/>
          <w:color w:val="000000"/>
        </w:rPr>
        <w:t>Audit Format– 5 possible points.</w:t>
      </w:r>
    </w:p>
    <w:p w:rsidR="00000000" w:rsidDel="00000000" w:rsidRDefault="00000000" w14:paraId="0000001F" w:rsidP="00000000" w:rsidRPr="00000000">
      <w:pPr>
        <w:keepNext w:val="0"/>
        <w:keepLines w:val="0"/>
        <w:numPr>
          <w:ilvl w:val="0"/>
          <w:numId w:val="4"/>
        </w:numPr>
        <w:ind w:left="720"/>
        <w:ind w:hanging="360"/>
        <w:spacing w:before="322" w:after="0" w:afterAutospacing="0"/>
      </w:pPr>
      <w:r w:rsidR="00000000" w:rsidDel="00000000" w:rsidRPr="00000000">
        <w:rPr>
          <w:rtl w:val="0"/>
        </w:rPr>
        <w:t>Multiple Auditors +1 (Bias Reduction + Less like-mind)</w:t>
      </w:r>
    </w:p>
    <w:p w:rsidR="00000000" w:rsidDel="00000000" w:rsidRDefault="00000000" w14:paraId="00000020" w:rsidP="00000000" w:rsidRPr="00000000">
      <w:pPr>
        <w:keepNext w:val="0"/>
        <w:keepLines w:val="0"/>
        <w:numPr>
          <w:ilvl w:val="0"/>
          <w:numId w:val="4"/>
        </w:numPr>
        <w:ind w:left="720"/>
        <w:ind w:hanging="360"/>
        <w:spacing w:before="0" w:beforeAutospacing="0" w:after="0" w:afterAutospacing="0"/>
      </w:pPr>
      <w:r w:rsidR="00000000" w:rsidDel="00000000" w:rsidRPr="00000000">
        <w:rPr>
          <w:rtl w:val="0"/>
        </w:rPr>
        <w:t>Industry Lead +1 (Started vs Complete, Audit Rep &lt; 5 High-profile reports)</w:t>
      </w:r>
    </w:p>
    <w:p w:rsidR="00000000" w:rsidDel="00000000" w:rsidRDefault="00000000" w14:paraId="00000021" w:rsidP="00000000" w:rsidRPr="00000000">
      <w:pPr>
        <w:keepNext w:val="0"/>
        <w:keepLines w:val="0"/>
        <w:numPr>
          <w:ilvl w:val="0"/>
          <w:numId w:val="4"/>
        </w:numPr>
        <w:ind w:left="720"/>
        <w:ind w:hanging="360"/>
        <w:spacing w:before="0" w:beforeAutospacing="0" w:after="0" w:afterAutospacing="0"/>
      </w:pPr>
      <w:r w:rsidR="00000000" w:rsidDel="00000000" w:rsidRPr="00000000">
        <w:rPr>
          <w:rtl w:val="0"/>
        </w:rPr>
        <w:t>Structure +1 (Uniform + Easy-to-follow)</w:t>
      </w:r>
    </w:p>
    <w:p w:rsidR="00000000" w:rsidDel="00000000" w:rsidRDefault="00000000" w14:paraId="00000022" w:rsidP="00000000" w:rsidRPr="00000000">
      <w:pPr>
        <w:keepNext w:val="0"/>
        <w:keepLines w:val="0"/>
        <w:numPr>
          <w:ilvl w:val="0"/>
          <w:numId w:val="4"/>
        </w:numPr>
        <w:ind w:left="720"/>
        <w:ind w:hanging="360"/>
        <w:spacing w:before="0" w:beforeAutospacing="0" w:after="0" w:afterAutospacing="0"/>
      </w:pPr>
      <w:r w:rsidR="00000000" w:rsidDel="00000000" w:rsidRPr="00000000">
        <w:rPr>
          <w:rtl w:val="0"/>
        </w:rPr>
        <w:t xml:space="preserve">Clarity +1 </w:t>
      </w:r>
    </w:p>
    <w:p w:rsidR="00000000" w:rsidDel="00000000" w:rsidRDefault="00000000" w14:paraId="00000023" w:rsidP="00000000" w:rsidRPr="00000000">
      <w:pPr>
        <w:keepNext w:val="0"/>
        <w:keepLines w:val="0"/>
        <w:numPr>
          <w:ilvl w:val="0"/>
          <w:numId w:val="4"/>
        </w:numPr>
        <w:ind w:left="720"/>
        <w:ind w:hanging="360"/>
        <w:spacing w:before="0" w:beforeAutospacing="0" w:after="322"/>
      </w:pPr>
      <w:r w:rsidR="00000000" w:rsidDel="00000000" w:rsidRPr="00000000">
        <w:rPr>
          <w:rtl w:val="0"/>
        </w:rPr>
        <w:t>Consistency +1</w:t>
      </w:r>
    </w:p>
    <w:p w:rsidR="00000000" w:rsidDel="00000000" w:rsidRDefault="00000000" w14:paraId="00000024" w:rsidP="00000000" w:rsidRPr="00000000">
      <w:pPr>
        <w:pStyle w:val="Heading3"/>
        <w:spacing w:before="322" w:after="322"/>
        <w:rPr>
          <w:color w:val="000000"/>
        </w:rPr>
      </w:pPr>
      <w:bookmarkStart w:colFirst="0" w:colLast="0" w:name="_s26oka3k84g0" w:id="5"/>
      <w:bookmarkEnd w:id="5"/>
      <w:r w:rsidR="00000000" w:rsidDel="00000000" w:rsidRPr="00000000">
        <w:rPr>
          <w:rtl w:val="0"/>
          <w:color w:val="000000"/>
        </w:rPr>
        <w:t xml:space="preserve">Public Profiles– 2 possible points. </w:t>
      </w:r>
    </w:p>
    <w:p w:rsidR="00000000" w:rsidDel="00000000" w:rsidRDefault="00000000" w14:paraId="00000025" w:rsidP="00000000" w:rsidRPr="00000000">
      <w:pPr>
        <w:keepNext w:val="0"/>
        <w:keepLines w:val="0"/>
        <w:numPr>
          <w:ilvl w:val="0"/>
          <w:numId w:val="2"/>
        </w:numPr>
        <w:ind w:left="720"/>
        <w:ind w:hanging="360"/>
        <w:spacing w:before="322" w:after="0" w:afterAutospacing="0"/>
      </w:pPr>
      <w:r w:rsidR="00000000" w:rsidDel="00000000" w:rsidRPr="00000000">
        <w:rPr>
          <w:rtl w:val="0"/>
        </w:rPr>
        <w:t>Transparency +1</w:t>
      </w:r>
    </w:p>
    <w:p w:rsidR="00000000" w:rsidDel="00000000" w:rsidRDefault="00000000" w14:paraId="00000026" w:rsidP="00000000" w:rsidRPr="00000000">
      <w:pPr>
        <w:keepNext w:val="0"/>
        <w:keepLines w:val="0"/>
        <w:numPr>
          <w:ilvl w:val="0"/>
          <w:numId w:val="2"/>
        </w:numPr>
        <w:ind w:left="720"/>
        <w:ind w:hanging="360"/>
        <w:spacing w:before="0" w:beforeAutospacing="0" w:after="322"/>
      </w:pPr>
      <w:r w:rsidR="00000000" w:rsidDel="00000000" w:rsidRPr="00000000">
        <w:rPr>
          <w:rtl w:val="0"/>
        </w:rPr>
        <w:t>Community Discord/Telegram/Reddit +1</w:t>
      </w:r>
    </w:p>
    <w:p w:rsidR="00000000" w:rsidDel="00000000" w:rsidRDefault="00000000" w14:paraId="0000002A" w:rsidP="00000000" w:rsidRPr="00000000">
      <w:pPr>
        <w:keepNext w:val="0"/>
        <w:keepLines w:val="0"/>
        <w:pStyle w:val="Heading1"/>
        <w:spacing w:before="322" w:after="322"/>
        <w:rPr>
          <w:b/>
          <w:sz w:val="48"/>
          <w:szCs w:val="48"/>
        </w:rPr>
      </w:pPr>
      <w:r w:rsidR="00000000" w:rsidDel="00000000" w:rsidRPr="00000000">
        <w:rPr>
          <w:rtl w:val="0"/>
          <w:color w:val="000000"/>
        </w:rPr>
        <w:t>BREAKDOWN: Technical Report</w:t>
      </w:r>
      <w:r w:rsidR="00000000" w:rsidDel="00000000" w:rsidRPr="00000000">
        <w:rPr>
          <w:rtl w:val="0"/>
        </w:rPr>
      </w:r>
    </w:p>
    <w:p w:rsidR="00000000" w:rsidDel="00000000" w:rsidRDefault="00000000" w14:paraId="0000002B" w:rsidP="00000000" w:rsidRPr="00000000">
      <w:pPr>
        <w:keepNext w:val="0"/>
        <w:keepLines w:val="0"/>
        <w:pStyle w:val="Heading3"/>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Safety Checklist</w:t>
      </w:r>
      <w:r w:rsidR="00000000" w:rsidDel="00000000" w:rsidRPr="00000000">
        <w:rPr>
          <w:rtl w:val="0"/>
        </w:rPr>
      </w:r>
    </w:p>
    <w:p w:rsidR="00000000" w:rsidDel="00000000" w:rsidRDefault="00000000" w14:paraId="0000002C" w:rsidP="00000000" w:rsidRPr="00000000">
      <w:pPr>
        <w:spacing w:before="240" w:after="240"/>
      </w:pPr>
      <w:r w:rsidR="00000000" w:rsidDel="00000000" w:rsidRPr="00000000">
        <w:rPr>
          <w:rtl w:val="0"/>
        </w:rPr>
        <w:t xml:space="preserve">A smart contract safety checklist. A checklist </w:t>
      </w:r>
    </w:p>
    <w:p w:rsidR="00000000" w:rsidDel="00000000" w:rsidRDefault="00000000" w14:paraId="0000002D" w:rsidP="00000000" w:rsidRPr="00000000">
      <w:pPr>
        <w:keepNext w:val="0"/>
        <w:keepLines w:val="0"/>
        <w:pStyle w:val="Heading3"/>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Decision Tree</w:t>
      </w:r>
      <w:r w:rsidR="00000000" w:rsidDel="00000000" w:rsidRPr="00000000">
        <w:rPr>
          <w:rtl w:val="0"/>
        </w:rPr>
      </w:r>
    </w:p>
    <w:p w:rsidR="00000000" w:rsidDel="00000000" w:rsidRDefault="00000000" w14:paraId="0000002E" w:rsidP="00000000" w:rsidRPr="00000000">
      <w:pPr>
        <w:spacing w:before="240" w:after="240"/>
      </w:pPr>
      <w:r w:rsidR="00000000" w:rsidDel="00000000" w:rsidRPr="00000000">
        <w:rPr>
          <w:rtl w:val="0"/>
        </w:rPr>
        <w:t>By creating a choice tree, a simple path for decisions is quick and efficient. The results of the decision tree form a basis for the risk chart.</w:t>
      </w:r>
    </w:p>
    <w:p w:rsidR="00000000" w:rsidDel="00000000" w:rsidRDefault="00000000" w14:paraId="0000002F" w:rsidP="00000000" w:rsidRPr="00000000">
      <w:pPr>
        <w:keepNext w:val="0"/>
        <w:keepLines w:val="0"/>
        <w:pStyle w:val="Heading3"/>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Risk Chart</w:t>
      </w:r>
      <w:r w:rsidR="00000000" w:rsidDel="00000000" w:rsidRPr="00000000">
        <w:rPr>
          <w:rtl w:val="0"/>
        </w:rPr>
      </w:r>
    </w:p>
    <w:p w:rsidR="00000000" w:rsidDel="00000000" w:rsidRDefault="00000000" w14:paraId="00000030" w:rsidP="00000000" w:rsidRPr="00000000">
      <w:pPr>
        <w:spacing w:before="240" w:after="240"/>
      </w:pPr>
      <w:r w:rsidR="00000000" w:rsidDel="00000000" w:rsidRPr="00000000">
        <w:rPr>
          <w:rtl w:val="0"/>
        </w:rPr>
        <w:t>After completing the safety-checklist and navigating the decision tree. A risk chart gauges your risk tolerance when considering investing in DeFi protocols or other blockchain projects that use smart contracts to function.</w:t>
      </w:r>
    </w:p>
    <w:p w:rsidR="00000000" w:rsidDel="00000000" w:rsidRDefault="00000000" w14:paraId="00000031" w:rsidP="00000000" w:rsidRPr="00000000">
      <w:pPr>
        <w:spacing w:before="240" w:after="240"/>
      </w:pPr>
      <w:r w:rsidR="00000000" w:rsidDel="00000000" w:rsidRPr="00000000">
        <w:rPr>
          <w:rtl w:val="0"/>
        </w:rPr>
        <w:t>Link to PDF</w:t>
      </w:r>
    </w:p>
    <w:p w:rsidR="00000000" w:rsidDel="00000000" w:rsidRDefault="00000000" w14:paraId="00000032" w:rsidP="00000000" w:rsidRPr="00000000">
      <w:pPr>
        <w:keepNext w:val="0"/>
        <w:keepLines w:val="0"/>
        <w:pStyle w:val="Heading4"/>
        <w:jc w:val="left"/>
        <w:spacing w:before="299" w:after="299"/>
        <w:rPr>
          <w:b/>
          <w:sz w:val="36"/>
          <w:szCs w:val="36"/>
        </w:rPr>
      </w:pPr>
      <w:r w:rsidR="00000000" w:rsidDel="00000000" w:rsidRPr="00000000">
        <w:rPr>
          <w:rtl w:val="0"/>
          <w:i w:val="0"/>
          <w:u w:val="single"/>
          <w:color w:val="000000"/>
          <w:rFonts w:ascii="Times New Roman" w:cs="Times New Roman" w:eastAsia="Times New Roman" w:hAnsi="Times New Roman"/>
        </w:rPr>
        <w:t>Tools &amp; Resources</w:t>
      </w:r>
      <w:r w:rsidR="00000000" w:rsidDel="00000000" w:rsidRPr="00000000">
        <w:rPr>
          <w:rtl w:val="0"/>
        </w:rPr>
      </w:r>
    </w:p>
    <w:p w:rsidR="00000000" w:rsidDel="00000000" w:rsidRDefault="00000000" w14:paraId="00000033" w:rsidP="00000000" w:rsidRPr="00000000">
      <w:pPr>
        <w:numPr>
          <w:ilvl w:val="0"/>
          <w:numId w:val="6"/>
        </w:numPr>
        <w:jc w:val="left"/>
        <w:ind w:left="720"/>
        <w:ind w:hanging="204"/>
        <w:spacing w:before="240"/>
      </w:pPr>
      <w:hyperlink r:id="rId6">
        <w:r w:rsidR="00000000" w:rsidDel="00000000" w:rsidRPr="00000000">
          <w:rPr>
            <w:rtl w:val="0"/>
            <w:i/>
            <w:u w:val="single"/>
            <w:color w:val="0000EE"/>
          </w:rPr>
          <w:t>The Hitchhiker's Guide to Smart Contracts in Ethereum</w:t>
        </w:r>
      </w:hyperlink>
      <w:r w:rsidR="00000000" w:rsidDel="00000000" w:rsidRPr="00000000">
        <w:rPr>
          <w:rtl w:val="0"/>
          <w:i/>
        </w:rPr>
        <w:t xml:space="preserve"> by; </w:t>
      </w:r>
      <w:hyperlink r:id="rId7">
        <w:r w:rsidR="00000000" w:rsidDel="00000000" w:rsidRPr="00000000">
          <w:rPr>
            <w:rtl w:val="0"/>
            <w:i/>
            <w:u w:val="single"/>
            <w:color w:val="0000EE"/>
          </w:rPr>
          <w:t>Manuel Araoz</w:t>
        </w:r>
      </w:hyperlink>
      <w:r w:rsidR="00000000" w:rsidDel="00000000" w:rsidRPr="00000000">
        <w:rPr>
          <w:rtl w:val="0"/>
        </w:rPr>
      </w:r>
    </w:p>
    <w:p w:rsidR="00000000" w:rsidDel="00000000" w:rsidRDefault="00000000" w14:paraId="00000034" w:rsidP="00000000" w:rsidRPr="00000000">
      <w:pPr>
        <w:numPr>
          <w:ilvl w:val="0"/>
          <w:numId w:val="6"/>
        </w:numPr>
        <w:jc w:val="left"/>
        <w:ind w:left="720"/>
        <w:ind w:hanging="204"/>
      </w:pPr>
      <w:hyperlink r:id="rId8">
        <w:r w:rsidR="00000000" w:rsidDel="00000000" w:rsidRPr="00000000">
          <w:rPr>
            <w:rtl w:val="0"/>
            <w:u w:val="single"/>
            <w:color w:val="0000EE"/>
          </w:rPr>
          <w:t>Ethereum Smart Contract Security Best Practices</w:t>
        </w:r>
      </w:hyperlink>
      <w:r w:rsidR="00000000" w:rsidDel="00000000" w:rsidRPr="00000000">
        <w:rPr>
          <w:rtl w:val="0"/>
        </w:rPr>
        <w:t xml:space="preserve"> (ConsenSys)</w:t>
      </w:r>
    </w:p>
    <w:p w:rsidR="00000000" w:rsidDel="00000000" w:rsidRDefault="00000000" w14:paraId="00000035" w:rsidP="00000000" w:rsidRPr="00000000">
      <w:pPr>
        <w:numPr>
          <w:ilvl w:val="0"/>
          <w:numId w:val="6"/>
        </w:numPr>
        <w:jc w:val="left"/>
        <w:ind w:left="720"/>
        <w:ind w:hanging="204"/>
      </w:pPr>
      <w:hyperlink r:id="rId9">
        <w:r w:rsidR="00000000" w:rsidDel="00000000" w:rsidRPr="00000000">
          <w:rPr>
            <w:rtl w:val="0"/>
            <w:u w:val="single"/>
            <w:color w:val="0000EE"/>
          </w:rPr>
          <w:t>CertiK Ecosystem Overview</w:t>
        </w:r>
      </w:hyperlink>
      <w:r w:rsidR="00000000" w:rsidDel="00000000" w:rsidRPr="00000000">
        <w:rPr>
          <w:rtl w:val="0"/>
        </w:rPr>
      </w:r>
    </w:p>
    <w:p w:rsidR="00000000" w:rsidDel="00000000" w:rsidRDefault="00000000" w14:paraId="00000036" w:rsidP="00000000" w:rsidRPr="00000000">
      <w:pPr>
        <w:numPr>
          <w:ilvl w:val="0"/>
          <w:numId w:val="6"/>
        </w:numPr>
        <w:jc w:val="left"/>
        <w:ind w:left="720"/>
        <w:ind w:hanging="204"/>
      </w:pPr>
      <w:hyperlink r:id="rId10">
        <w:r w:rsidR="00000000" w:rsidDel="00000000" w:rsidRPr="00000000">
          <w:rPr>
            <w:rtl w:val="0"/>
            <w:u w:val="single"/>
            <w:color w:val="0000EE"/>
          </w:rPr>
          <w:t>Messari</w:t>
        </w:r>
      </w:hyperlink>
      <w:r w:rsidR="00000000" w:rsidDel="00000000" w:rsidRPr="00000000">
        <w:rPr>
          <w:rtl w:val="0"/>
        </w:rPr>
      </w:r>
    </w:p>
    <w:p w:rsidR="00000000" w:rsidDel="00000000" w:rsidRDefault="00000000" w14:paraId="00000037" w:rsidP="00000000" w:rsidRPr="00000000">
      <w:pPr>
        <w:numPr>
          <w:ilvl w:val="0"/>
          <w:numId w:val="6"/>
        </w:numPr>
        <w:jc w:val="left"/>
        <w:ind w:left="720"/>
        <w:ind w:hanging="204"/>
      </w:pPr>
      <w:hyperlink r:id="rId11">
        <w:r w:rsidR="00000000" w:rsidDel="00000000" w:rsidRPr="00000000">
          <w:rPr>
            <w:rtl w:val="0"/>
            <w:u w:val="single"/>
            <w:color w:val="0000EE"/>
          </w:rPr>
          <w:t>State of Dapps</w:t>
        </w:r>
      </w:hyperlink>
      <w:r w:rsidR="00000000" w:rsidDel="00000000" w:rsidRPr="00000000">
        <w:rPr>
          <w:rtl w:val="0"/>
        </w:rPr>
      </w:r>
    </w:p>
    <w:p w:rsidR="00000000" w:rsidDel="00000000" w:rsidRDefault="00000000" w14:paraId="00000038" w:rsidP="00000000" w:rsidRPr="00000000">
      <w:pPr>
        <w:numPr>
          <w:ilvl w:val="0"/>
          <w:numId w:val="6"/>
        </w:numPr>
        <w:jc w:val="left"/>
        <w:ind w:left="720"/>
        <w:ind w:hanging="204"/>
        <w:spacing w:after="240"/>
      </w:pPr>
      <w:hyperlink r:id="rId12">
        <w:r w:rsidR="00000000" w:rsidDel="00000000" w:rsidRPr="00000000">
          <w:rPr>
            <w:rtl w:val="0"/>
            <w:u w:val="single"/>
            <w:color w:val="0000EE"/>
          </w:rPr>
          <w:t>DeFi Prime</w:t>
        </w:r>
      </w:hyperlink>
      <w:r w:rsidR="00000000" w:rsidDel="00000000" w:rsidRPr="00000000">
        <w:rPr>
          <w:rtl w:val="0"/>
        </w:rPr>
      </w:r>
    </w:p>
    <w:p w:rsidR="00000000" w:rsidDel="00000000" w:rsidRDefault="00000000" w14:paraId="00000039" w:rsidP="00000000" w:rsidRPr="00000000">
      <w:pPr>
        <w:spacing w:before="240" w:after="240"/>
      </w:pPr>
      <w:r w:rsidR="00000000" w:rsidDel="00000000" w:rsidRPr="00000000">
        <w:rPr>
          <w:rtl w:val="0"/>
        </w:rPr>
      </w:r>
    </w:p>
    <w:sectPr>
      <w:pgNumType w:start="1"/>
      <w:pgSz w:w="12240" w:h="15840" w:orient="portrait"/>
      <w:pgMar w:left="1440" w:right="1440" w:top="1440" w:bottom="1440" w:header="708" w:footer="708"/>
    </w:sectPr>
  </w:body>
</w:document>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Times New Roman"/>
  <w:font w:name="Courier New"/>
  <w:font w:name="Noto Sans Symbols"/>
  <w:font w:name="Calibri"/>
  <w:font w:name="Cambria"/>
  <w:font w:name="Symbol"/>
  <w:font w:name="Arial"/>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2">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3">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4">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5">
    <w:multiLevelType w:val="hybridMultilevel"/>
    <w:lvl w:ilvl="0">
      <w:numFmt w:val="bullet"/>
      <w:lvlText w:val="-"/>
      <w:start w:val="1"/>
      <w:rPr>
        <w:u w:val="none"/>
      </w:rPr>
      <w:pPr>
        <w:ind w:left="720"/>
        <w:ind w:hanging="360"/>
      </w:pPr>
      <w:lvlJc w:val="left"/>
    </w:lvl>
    <w:lvl w:ilvl="1">
      <w:numFmt w:val="bullet"/>
      <w:lvlText w:val="-"/>
      <w:start w:val="1"/>
      <w:rPr>
        <w:u w:val="none"/>
      </w:rPr>
      <w:pPr>
        <w:ind w:left="1440"/>
        <w:ind w:hanging="360"/>
      </w:pPr>
      <w:lvlJc w:val="left"/>
    </w:lvl>
    <w:lvl w:ilvl="2">
      <w:numFmt w:val="bullet"/>
      <w:lvlText w:val="-"/>
      <w:start w:val="1"/>
      <w:rPr>
        <w:u w:val="none"/>
      </w:rPr>
      <w:pPr>
        <w:ind w:left="2160"/>
        <w:ind w:hanging="360"/>
      </w:pPr>
      <w:lvlJc w:val="left"/>
    </w:lvl>
    <w:lvl w:ilvl="3">
      <w:numFmt w:val="bullet"/>
      <w:lvlText w:val="-"/>
      <w:start w:val="1"/>
      <w:rPr>
        <w:u w:val="none"/>
      </w:rPr>
      <w:pPr>
        <w:ind w:left="2880"/>
        <w:ind w:hanging="360"/>
      </w:pPr>
      <w:lvlJc w:val="left"/>
    </w:lvl>
    <w:lvl w:ilvl="4">
      <w:numFmt w:val="bullet"/>
      <w:lvlText w:val="-"/>
      <w:start w:val="1"/>
      <w:rPr>
        <w:u w:val="none"/>
      </w:rPr>
      <w:pPr>
        <w:ind w:left="3600"/>
        <w:ind w:hanging="360"/>
      </w:pPr>
      <w:lvlJc w:val="left"/>
    </w:lvl>
    <w:lvl w:ilvl="5">
      <w:numFmt w:val="bullet"/>
      <w:lvlText w:val="-"/>
      <w:start w:val="1"/>
      <w:rPr>
        <w:u w:val="none"/>
      </w:rPr>
      <w:pPr>
        <w:ind w:left="4320"/>
        <w:ind w:hanging="360"/>
      </w:pPr>
      <w:lvlJc w:val="left"/>
    </w:lvl>
    <w:lvl w:ilvl="6">
      <w:numFmt w:val="bullet"/>
      <w:lvlText w:val="-"/>
      <w:start w:val="1"/>
      <w:rPr>
        <w:u w:val="none"/>
      </w:rPr>
      <w:pPr>
        <w:ind w:left="5040"/>
        <w:ind w:hanging="360"/>
      </w:pPr>
      <w:lvlJc w:val="left"/>
    </w:lvl>
    <w:lvl w:ilvl="7">
      <w:numFmt w:val="bullet"/>
      <w:lvlText w:val="-"/>
      <w:start w:val="1"/>
      <w:rPr>
        <w:u w:val="none"/>
      </w:rPr>
      <w:pPr>
        <w:ind w:left="5760"/>
        <w:ind w:hanging="360"/>
      </w:pPr>
      <w:lvlJc w:val="left"/>
    </w:lvl>
    <w:lvl w:ilvl="8">
      <w:numFmt w:val="bullet"/>
      <w:lvlText w:val="-"/>
      <w:start w:val="1"/>
      <w:rPr>
        <w:u w:val="none"/>
      </w:rPr>
      <w:pPr>
        <w:ind w:left="6480"/>
        <w:ind w:hanging="360"/>
      </w:pPr>
      <w:lvlJc w:val="left"/>
    </w:lvl>
  </w:abstractNum>
  <w:abstractNum w:abstractNumId="6">
    <w:multiLevelType w:val="hybridMultilevel"/>
    <w:lvl w:ilvl="0">
      <w:numFmt w:val="bullet"/>
      <w:lvlText w:val="●"/>
      <w:start w:val="1"/>
      <w:rPr>
        <w:rFonts w:ascii="Noto Sans Symbols" w:cs="Noto Sans Symbols" w:eastAsia="Noto Sans Symbols" w:hAnsi="Noto Sans Symbols"/>
      </w:rPr>
      <w:pPr>
        <w:ind w:left="720"/>
        <w:ind w:hanging="360"/>
      </w:pPr>
      <w:lvlJc w:val="left"/>
    </w:lvl>
    <w:lvl w:ilvl="1">
      <w:numFmt w:val="bullet"/>
      <w:lvlText w:val="o"/>
      <w:start w:val="1"/>
      <w:rPr>
        <w:rFonts w:ascii="Courier New" w:cs="Courier New" w:eastAsia="Courier New" w:hAnsi="Courier New"/>
      </w:rPr>
      <w:pPr>
        <w:ind w:left="1440"/>
        <w:ind w:hanging="360"/>
      </w:pPr>
      <w:lvlJc w:val="left"/>
    </w:lvl>
    <w:lvl w:ilvl="2">
      <w:numFmt w:val="bullet"/>
      <w:lvlText w:val="▪"/>
      <w:start w:val="1"/>
      <w:rPr>
        <w:rFonts w:ascii="Noto Sans Symbols" w:cs="Noto Sans Symbols" w:eastAsia="Noto Sans Symbols" w:hAnsi="Noto Sans Symbols"/>
      </w:rPr>
      <w:pPr>
        <w:ind w:left="2160"/>
        <w:ind w:hanging="360"/>
      </w:pPr>
      <w:lvlJc w:val="left"/>
    </w:lvl>
    <w:lvl w:ilvl="3">
      <w:numFmt w:val="bullet"/>
      <w:lvlText w:val="●"/>
      <w:start w:val="1"/>
      <w:rPr>
        <w:rFonts w:ascii="Noto Sans Symbols" w:cs="Noto Sans Symbols" w:eastAsia="Noto Sans Symbols" w:hAnsi="Noto Sans Symbols"/>
      </w:rPr>
      <w:pPr>
        <w:ind w:left="2880"/>
        <w:ind w:hanging="360"/>
      </w:pPr>
      <w:lvlJc w:val="left"/>
    </w:lvl>
    <w:lvl w:ilvl="4">
      <w:numFmt w:val="bullet"/>
      <w:lvlText w:val="o"/>
      <w:start w:val="1"/>
      <w:rPr>
        <w:rFonts w:ascii="Courier New" w:cs="Courier New" w:eastAsia="Courier New" w:hAnsi="Courier New"/>
      </w:rPr>
      <w:pPr>
        <w:ind w:left="3600"/>
        <w:ind w:hanging="360"/>
      </w:pPr>
      <w:lvlJc w:val="left"/>
    </w:lvl>
    <w:lvl w:ilvl="5">
      <w:numFmt w:val="bullet"/>
      <w:lvlText w:val="▪"/>
      <w:start w:val="1"/>
      <w:rPr>
        <w:rFonts w:ascii="Noto Sans Symbols" w:cs="Noto Sans Symbols" w:eastAsia="Noto Sans Symbols" w:hAnsi="Noto Sans Symbols"/>
      </w:rPr>
      <w:pPr>
        <w:ind w:left="4320"/>
        <w:ind w:hanging="360"/>
      </w:pPr>
      <w:lvlJc w:val="left"/>
    </w:lvl>
    <w:lvl w:ilvl="6">
      <w:numFmt w:val="bullet"/>
      <w:lvlText w:val="●"/>
      <w:start w:val="1"/>
      <w:rPr>
        <w:rFonts w:ascii="Noto Sans Symbols" w:cs="Noto Sans Symbols" w:eastAsia="Noto Sans Symbols" w:hAnsi="Noto Sans Symbols"/>
      </w:rPr>
      <w:pPr>
        <w:ind w:left="5040"/>
        <w:ind w:hanging="360"/>
      </w:pPr>
      <w:lvlJc w:val="left"/>
    </w:lvl>
    <w:lvl w:ilvl="7">
      <w:numFmt w:val="bullet"/>
      <w:lvlText w:val="o"/>
      <w:start w:val="1"/>
      <w:rPr>
        <w:rFonts w:ascii="Courier New" w:cs="Courier New" w:eastAsia="Courier New" w:hAnsi="Courier New"/>
      </w:rPr>
      <w:pPr>
        <w:ind w:left="5760"/>
        <w:ind w:hanging="360"/>
      </w:pPr>
      <w:lvlJc w:val="left"/>
    </w:lvl>
    <w:lvl w:ilvl="8">
      <w:numFmt w:val="bullet"/>
      <w:lvlText w:val="▪"/>
      <w:start w:val="1"/>
      <w:rPr>
        <w:rFonts w:ascii="Noto Sans Symbols" w:cs="Noto Sans Symbols" w:eastAsia="Noto Sans Symbols" w:hAnsi="Noto Sans Symbols"/>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1"/>
  </w:num>
  <w:num w:numId="2">
    <w:abstractNumId w:val="2"/>
  </w:num>
  <w:num w:numId="3">
    <w:abstractNumId w:val="3"/>
  </w:num>
  <w:num w:numId="4">
    <w:abstractNumId w:val="4"/>
  </w:num>
  <w:num w:numId="5">
    <w:abstractNumId w:val="5"/>
  </w:num>
  <w:num w:numId="6">
    <w:abstractNumId w:val="6"/>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rsid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Times New Roman" w:cs="Times New Roman" w:eastAsia="Times New Roman" w:hAnsi="Times New Roman"/>
      <w:b w:val="1"/>
      <w:i w:val="0"/>
      <w:color w:val="2f5496"/>
      <w:sz w:val="48"/>
      <w:szCs w:val="48"/>
    </w:rPr>
  </w:style>
  <w:style w:type="paragraph" w:styleId="Heading2">
    <w:name w:val="heading 2"/>
    <w:basedOn w:val="Normal"/>
    <w:next w:val="Normal"/>
    <w:pPr>
      <w:keepNext w:val="1"/>
      <w:keepLines w:val="1"/>
      <w:spacing w:after="0" w:before="40" w:lineRule="auto"/>
    </w:pPr>
    <w:rPr>
      <w:rFonts w:ascii="Times New Roman" w:cs="Times New Roman" w:eastAsia="Times New Roman" w:hAnsi="Times New Roman"/>
      <w:b w:val="1"/>
      <w:i w:val="0"/>
      <w:color w:val="2f5496"/>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i w:val="0"/>
      <w:color w:val="1f3763"/>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b w:val="1"/>
      <w:i w:val="0"/>
      <w:color w:val="2f5496"/>
      <w:sz w:val="24"/>
      <w:szCs w:val="24"/>
    </w:rPr>
  </w:style>
  <w:style w:type="paragraph" w:styleId="Heading5">
    <w:name w:val="heading 5"/>
    <w:basedOn w:val="Normal"/>
    <w:next w:val="Normal"/>
    <w:pPr>
      <w:keepNext w:val="1"/>
      <w:keepLines w:val="1"/>
      <w:spacing w:after="0" w:before="40" w:lineRule="auto"/>
    </w:pPr>
    <w:rPr>
      <w:rFonts w:ascii="Times New Roman" w:cs="Times New Roman" w:eastAsia="Times New Roman" w:hAnsi="Times New Roman"/>
      <w:b w:val="1"/>
      <w:i w:val="0"/>
      <w:color w:val="2f5496"/>
      <w:sz w:val="20"/>
      <w:szCs w:val="20"/>
    </w:rPr>
  </w:style>
  <w:style w:type="paragraph" w:styleId="Heading6">
    <w:name w:val="heading 6"/>
    <w:basedOn w:val="Normal"/>
    <w:next w:val="Normal"/>
    <w:pPr>
      <w:keepNext w:val="1"/>
      <w:keepLines w:val="1"/>
      <w:spacing w:after="0" w:before="40" w:lineRule="auto"/>
    </w:pPr>
    <w:rPr>
      <w:rFonts w:ascii="Times New Roman" w:cs="Times New Roman" w:eastAsia="Times New Roman" w:hAnsi="Times New Roman"/>
      <w:b w:val="1"/>
      <w:i w:val="0"/>
      <w:color w:val="1f3763"/>
      <w:sz w:val="16"/>
      <w:szCs w:val="16"/>
    </w:rPr>
  </w:style>
  <w:style w:type="paragraph" w:styleId="Title">
    <w:name w:val="Title"/>
    <w:basedOn w:val="Normal"/>
    <w:next w:val="Normal"/>
    <w:pPr>
      <w:spacing w:after="300" w:lineRule="auto"/>
    </w:pPr>
    <w:rPr>
      <w:color w:val="17365d"/>
      <w:sz w:val="52"/>
      <w:szCs w:val="52"/>
    </w:rPr>
  </w:style>
  <w:style w:type="paragraph" w:styleId="Subtitle">
    <w:name w:val="Subtitle"/>
    <w:basedOn w:val="Normal"/>
    <w:next w:val="Normal"/>
    <w:pPr/>
    <w:rPr>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stateofthedapps.com/" TargetMode="External"/><Relationship Id="rId10" Type="http://schemas.openxmlformats.org/officeDocument/2006/relationships/hyperlink" Target="https://messari.io/" TargetMode="External"/><Relationship Id="rId12" Type="http://schemas.openxmlformats.org/officeDocument/2006/relationships/hyperlink" Target="https://defiprime.com/" TargetMode="External"/><Relationship Id="rId9" Type="http://schemas.openxmlformats.org/officeDocument/2006/relationships/hyperlink" Target="https://certik.org/technology" TargetMode="External"/><Relationship Id="rId5" Type="http://schemas.openxmlformats.org/officeDocument/2006/relationships/styles" Target="styles.xml"/><Relationship Id="rId6" Type="http://schemas.openxmlformats.org/officeDocument/2006/relationships/hyperlink" Target="https://medium.com/zeppelin-blog/the-hitchhikers-guide-to-smart-contracts-in-ethereum-848f08001f05" TargetMode="External"/><Relationship Id="rId7" Type="http://schemas.openxmlformats.org/officeDocument/2006/relationships/hyperlink" Target="https://maraoz.medium.com/" TargetMode="External"/><Relationship Id="rId8" Type="http://schemas.openxmlformats.org/officeDocument/2006/relationships/hyperlink" Target="https://consensys.github.io/smart-contract-best-pract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