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80" w:before="0"/>
        <w:jc w:val="center"/>
      </w:pPr>
      <w:r>
        <w:rPr>
          <w:rFonts w:ascii="Arial" w:cs="Arial" w:eastAsia="Arial" w:hAnsi="Arial"/>
          <w:b/>
          <w:bCs/>
          <w:color w:val="1B3A6B"/>
          <w:sz w:val="56"/>
          <w:szCs w:val="56"/>
        </w:rPr>
        <w:t xml:space="preserve">NJ Transit FIFA 2026</w:t>
      </w:r>
    </w:p>
    <w:p>
      <w:pPr>
        <w:spacing w:after="80" w:before="0"/>
        <w:jc w:val="center"/>
      </w:pPr>
      <w:r>
        <w:rPr>
          <w:rFonts w:ascii="Arial" w:cs="Arial" w:eastAsia="Arial" w:hAnsi="Arial"/>
          <w:b/>
          <w:bCs/>
          <w:color w:val="1D7A6B"/>
          <w:sz w:val="40"/>
          <w:szCs w:val="40"/>
        </w:rPr>
        <w:t xml:space="preserve">Sustainable Procurement Scorecard</w:t>
      </w:r>
    </w:p>
    <w:p>
      <w:pPr>
        <w:spacing w:after="400" w:before="0"/>
        <w:jc w:val="center"/>
      </w:pPr>
      <w:r>
        <w:rPr>
          <w:rFonts w:ascii="Arial" w:cs="Arial" w:eastAsia="Arial" w:hAnsi="Arial"/>
          <w:i/>
          <w:iCs/>
          <w:color w:val="555555"/>
          <w:sz w:val="30"/>
          <w:szCs w:val="30"/>
        </w:rPr>
        <w:t xml:space="preserve">Complete Calculation Reference</w:t>
      </w:r>
    </w:p>
    <w:p>
      <w:pPr>
        <w:pBdr>
          <w:bottom w:val="single" w:color="C5D3E8" w:sz="4" w:space="2"/>
        </w:pBdr>
        <w:spacing w:after="120" w:before="120"/>
      </w:pPr>
      <w:r>
        <w:rPr>
          <w:rFonts w:ascii="Arial" w:cs="Arial" w:eastAsia="Arial" w:hAnsi="Arial"/>
          <w:sz w:val="4"/>
          <w:szCs w:val="4"/>
        </w:rPr>
        <w:t xml:space="preserve"/>
      </w:r>
    </w:p>
    <w:p>
      <w:pPr>
        <w:spacing w:after="40" w:before="40"/>
      </w:pPr>
      <w:r>
        <w:t xml:space="preserve"/>
      </w:r>
    </w:p>
    <w:p>
      <w:pPr>
        <w:spacing w:after="80" w:before="80"/>
        <w:jc w:val="center"/>
      </w:pPr>
      <w:r>
        <w:rPr>
          <w:rFonts w:ascii="Arial" w:cs="Arial" w:eastAsia="Arial" w:hAnsi="Arial"/>
          <w:color w:val="555555"/>
          <w:sz w:val="22"/>
          <w:szCs w:val="22"/>
        </w:rPr>
        <w:t xml:space="preserve">Sustainability Working Group  |  Version 2.0  |  April 2026</w:t>
      </w:r>
    </w:p>
    <w:p>
      <w:pPr>
        <w:spacing w:after="80" w:before="0"/>
        <w:jc w:val="center"/>
      </w:pPr>
      <w:r>
        <w:rPr>
          <w:rFonts w:ascii="Arial" w:cs="Arial" w:eastAsia="Arial" w:hAnsi="Arial"/>
          <w:i/>
          <w:iCs/>
          <w:color w:val="888888"/>
          <w:sz w:val="20"/>
          <w:szCs w:val="20"/>
        </w:rPr>
        <w:t xml:space="preserve">Covers: vendor_data_v2.py  •  scorecard_v2.py  •  simulation_v2.py  •  dashboard_v2.py</w:t>
      </w:r>
    </w:p>
    <w:p>
      <w:r>
        <w:br w:type="page"/>
      </w:r>
    </w:p>
    <w:p>
      <w:pPr>
        <w:pStyle w:val="Heading1"/>
        <w:pBdr>
          <w:bottom w:val="single" w:color="1B3A6B" w:sz="8" w:space="4"/>
        </w:pBdr>
        <w:spacing w:after="160" w:before="400"/>
      </w:pPr>
      <w:r>
        <w:rPr>
          <w:rFonts w:ascii="Arial" w:cs="Arial" w:eastAsia="Arial" w:hAnsi="Arial"/>
          <w:b/>
          <w:bCs/>
          <w:color w:val="1B3A6B"/>
          <w:sz w:val="36"/>
          <w:szCs w:val="36"/>
        </w:rPr>
        <w:t xml:space="preserve">1.  Purpose and Scope</w:t>
      </w:r>
    </w:p>
    <w:p>
      <w:pPr>
        <w:spacing w:after="120" w:before="80"/>
        <w:jc w:val="left"/>
      </w:pPr>
      <w:r>
        <w:rPr>
          <w:rFonts w:ascii="Arial" w:cs="Arial" w:eastAsia="Arial" w:hAnsi="Arial"/>
          <w:b w:val="false"/>
          <w:bCs w:val="false"/>
          <w:i w:val="false"/>
          <w:iCs w:val="false"/>
          <w:color w:val="000000"/>
          <w:sz w:val="22"/>
          <w:szCs w:val="22"/>
        </w:rPr>
        <w:t xml:space="preserve">This document provides a complete, line-by-line explanation of every calculation performed by the NJ Transit FIFA 2026 Sustainable Procurement Scorecard. The goal is to ensure full transparency so that any member of the Sustainability Working Group, or any external reviewer, can independently verify every number that appears in the dashboard.</w:t>
      </w:r>
    </w:p>
    <w:p>
      <w:pPr>
        <w:spacing w:after="80" w:before="80"/>
        <w:jc w:val="left"/>
      </w:pPr>
      <w:r>
        <w:rPr>
          <w:rFonts w:ascii="Arial" w:cs="Arial" w:eastAsia="Arial" w:hAnsi="Arial"/>
          <w:b w:val="false"/>
          <w:bCs w:val="false"/>
          <w:i w:val="false"/>
          <w:iCs w:val="false"/>
          <w:color w:val="000000"/>
          <w:sz w:val="22"/>
          <w:szCs w:val="22"/>
        </w:rPr>
        <w:t xml:space="preserve">The system analyzes trade-offs across 10 vendors and 8 spare-part categories over a 90-day FIFA 2026 service window using three sustainability pillars:</w:t>
      </w:r>
    </w:p>
    <w:p>
      <w:pPr>
        <w:pStyle w:val="ListParagraph"/>
        <w:numPr>
          <w:ilvl w:val="0"/>
          <w:numId w:val="2"/>
        </w:numPr>
        <w:spacing w:after="40" w:before="40"/>
        <w:ind w:left="720" w:hanging="360"/>
      </w:pPr>
      <w:r>
        <w:rPr>
          <w:rFonts w:ascii="Arial" w:cs="Arial" w:eastAsia="Arial" w:hAnsi="Arial"/>
          <w:color w:val="000000"/>
          <w:sz w:val="22"/>
          <w:szCs w:val="22"/>
        </w:rPr>
        <w:t xml:space="preserve">Environmental  —  minimizing carbon footprint (KPI 1) and ensuring supply reliability (on-time rate)</w:t>
      </w:r>
    </w:p>
    <w:p>
      <w:pPr>
        <w:pStyle w:val="ListParagraph"/>
        <w:numPr>
          <w:ilvl w:val="0"/>
          <w:numId w:val="2"/>
        </w:numPr>
        <w:spacing w:after="40" w:before="40"/>
        <w:ind w:left="720" w:hanging="360"/>
      </w:pPr>
      <w:r>
        <w:rPr>
          <w:rFonts w:ascii="Arial" w:cs="Arial" w:eastAsia="Arial" w:hAnsi="Arial"/>
          <w:color w:val="000000"/>
          <w:sz w:val="22"/>
          <w:szCs w:val="22"/>
        </w:rPr>
        <w:t xml:space="preserve">Economic  —  minimizing procurement cost (KPI 2), MOQ burden (KPI 4), carrying cost, and penalty exposure</w:t>
      </w:r>
    </w:p>
    <w:p>
      <w:pPr>
        <w:pStyle w:val="ListParagraph"/>
        <w:numPr>
          <w:ilvl w:val="0"/>
          <w:numId w:val="2"/>
        </w:numPr>
        <w:spacing w:after="40" w:before="40"/>
        <w:ind w:left="720" w:hanging="360"/>
      </w:pPr>
      <w:r>
        <w:rPr>
          <w:rFonts w:ascii="Arial" w:cs="Arial" w:eastAsia="Arial" w:hAnsi="Arial"/>
          <w:color w:val="000000"/>
          <w:sz w:val="22"/>
          <w:szCs w:val="22"/>
        </w:rPr>
        <w:t xml:space="preserve">Social  —  labor rights, worker safety, community impact, supply chain transparency, and domestic sourcing</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20"/>
              <w:bottom w:val="single" w:color="1B3A6B" w:sz="6"/>
              <w:right w:val="none" w:color="FFFFFF" w:sz="0"/>
            </w:tcBorders>
            <w:shd w:fill="EEF4FB" w:val="clear"/>
            <w:tcMar>
              <w:top w:type="dxa" w:w="100"/>
              <w:left w:type="dxa" w:w="200"/>
              <w:bottom w:type="dxa" w:w="100"/>
              <w:right w:type="dxa" w:w="180"/>
            </w:tcMar>
          </w:tcPr>
          <w:p>
            <w:pPr>
              <w:spacing w:after="60" w:before="0"/>
            </w:pPr>
            <w:r>
              <w:rPr>
                <w:rFonts w:ascii="Arial" w:cs="Arial" w:eastAsia="Arial" w:hAnsi="Arial"/>
                <w:b/>
                <w:bCs/>
                <w:color w:val="1B3A6B"/>
                <w:sz w:val="22"/>
                <w:szCs w:val="22"/>
              </w:rPr>
              <w:t xml:space="preserve">Scope of this document</w:t>
            </w:r>
          </w:p>
          <w:p>
            <w:pPr>
              <w:spacing w:after="0" w:before="0"/>
            </w:pPr>
            <w:r>
              <w:rPr>
                <w:rFonts w:ascii="Arial" w:cs="Arial" w:eastAsia="Arial" w:hAnsi="Arial"/>
                <w:color w:val="000000"/>
                <w:sz w:val="21"/>
                <w:szCs w:val="21"/>
              </w:rPr>
              <w:t xml:space="preserve">This document covers the mathematical formulas, aggregation logic, normalization method, weighting structure, Monte Carlo simulation model, and warehouse capacity model. It does not cover the dashboard UI code, chart rendering, or the Excel data source schema.</w:t>
            </w:r>
          </w:p>
        </w:tc>
      </w:tr>
    </w:tbl>
    <w:p>
      <w:pPr>
        <w:spacing w:after="40" w:before="40"/>
      </w:pPr>
      <w:r>
        <w:t xml:space="preserve"/>
      </w:r>
    </w:p>
    <w:p>
      <w:r>
        <w:br w:type="page"/>
      </w:r>
    </w:p>
    <w:p>
      <w:pPr>
        <w:pStyle w:val="Heading1"/>
        <w:pBdr>
          <w:bottom w:val="single" w:color="1B3A6B" w:sz="8" w:space="4"/>
        </w:pBdr>
        <w:spacing w:after="160" w:before="400"/>
      </w:pPr>
      <w:r>
        <w:rPr>
          <w:rFonts w:ascii="Arial" w:cs="Arial" w:eastAsia="Arial" w:hAnsi="Arial"/>
          <w:b/>
          <w:bCs/>
          <w:color w:val="1B3A6B"/>
          <w:sz w:val="36"/>
          <w:szCs w:val="36"/>
        </w:rPr>
        <w:t xml:space="preserve">2.  Data Pipeline Overview</w:t>
      </w:r>
    </w:p>
    <w:p>
      <w:pPr>
        <w:spacing w:after="60" w:before="80"/>
        <w:jc w:val="left"/>
      </w:pPr>
      <w:r>
        <w:rPr>
          <w:rFonts w:ascii="Arial" w:cs="Arial" w:eastAsia="Arial" w:hAnsi="Arial"/>
          <w:b w:val="false"/>
          <w:bCs w:val="false"/>
          <w:i w:val="false"/>
          <w:iCs w:val="false"/>
          <w:color w:val="000000"/>
          <w:sz w:val="22"/>
          <w:szCs w:val="22"/>
        </w:rPr>
        <w:t xml:space="preserve">All data originates from a single Excel workbook: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D7A6B" w:sz="8"/>
              <w:left w:val="single" w:color="1D7A6B" w:sz="12"/>
              <w:bottom w:val="single" w:color="1D7A6B" w:sz="4"/>
              <w:right w:val="none" w:color="FFFFFF" w:sz="0"/>
            </w:tcBorders>
            <w:shd w:fill="E6F4F1" w:val="clear"/>
            <w:tcMar>
              <w:top w:type="dxa" w:w="100"/>
              <w:left w:type="dxa" w:w="180"/>
              <w:bottom w:type="dxa" w:w="100"/>
              <w:right w:type="dxa" w:w="180"/>
            </w:tcMar>
          </w:tcPr>
          <w:p>
            <w:pPr>
              <w:spacing w:after="0" w:before="0"/>
            </w:pPr>
            <w:r>
              <w:rPr>
                <w:rFonts w:ascii="Arial" w:cs="Arial" w:eastAsia="Arial" w:hAnsi="Arial"/>
                <w:b/>
                <w:bCs/>
                <w:color w:val="1D7A6B"/>
                <w:sz w:val="20"/>
                <w:szCs w:val="20"/>
              </w:rPr>
              <w:t xml:space="preserve">Source file:  </w:t>
            </w:r>
            <w:r>
              <w:rPr>
                <w:rFonts w:ascii="Courier New" w:cs="Courier New" w:eastAsia="Courier New" w:hAnsi="Courier New"/>
                <w:color w:val="1B3A6B"/>
                <w:sz w:val="20"/>
                <w:szCs w:val="20"/>
              </w:rPr>
              <w:t xml:space="preserve">NJTransit_FIFA2026_WithSocialPillar.xlsx  →  sheet: "Sourcing Data"</w:t>
            </w:r>
          </w:p>
        </w:tc>
      </w:tr>
    </w:tbl>
    <w:p>
      <w:pPr>
        <w:spacing w:after="40" w:before="40"/>
      </w:pPr>
      <w:r>
        <w:t xml:space="preserve"/>
      </w:r>
    </w:p>
    <w:p>
      <w:pPr>
        <w:spacing w:after="80" w:before="80"/>
        <w:jc w:val="left"/>
      </w:pPr>
      <w:r>
        <w:rPr>
          <w:rFonts w:ascii="Arial" w:cs="Arial" w:eastAsia="Arial" w:hAnsi="Arial"/>
          <w:b w:val="false"/>
          <w:bCs w:val="false"/>
          <w:i w:val="false"/>
          <w:iCs w:val="false"/>
          <w:color w:val="000000"/>
          <w:sz w:val="22"/>
          <w:szCs w:val="22"/>
        </w:rPr>
        <w:t xml:space="preserve">The pipeline has four stages executed in dependency order: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Stage</w:t>
            </w:r>
          </w:p>
        </w:tc>
        <w:tc>
          <w:tcPr>
            <w:tcW w:type="dxa" w:w="25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w:t>
            </w:r>
          </w:p>
        </w:tc>
        <w:tc>
          <w:tcPr>
            <w:tcW w:type="dxa" w:w="53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Responsibility</w:t>
            </w:r>
          </w:p>
        </w:tc>
      </w:tr>
      <w:tr>
        <w:tc>
          <w:tcPr>
            <w:tcW w:type="dxa" w:w="15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1 — ETL &amp; KPI formulas</w:t>
            </w:r>
          </w:p>
        </w:tc>
        <w:tc>
          <w:tcPr>
            <w:tcW w:type="dxa" w:w="25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vendor_data_v2.py</w:t>
            </w:r>
          </w:p>
        </w:tc>
        <w:tc>
          <w:tcPr>
            <w:tcW w:type="dxa" w:w="53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Load raw Excel, compute row-level KPIs, aggregate to vendor-level and part-level tables</w:t>
            </w:r>
          </w:p>
        </w:tc>
      </w:tr>
      <w:tr>
        <w:tc>
          <w:tcPr>
            <w:tcW w:type="dxa" w:w="15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2 — Scoring</w:t>
            </w:r>
          </w:p>
        </w:tc>
        <w:tc>
          <w:tcPr>
            <w:tcW w:type="dxa" w:w="25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scorecard_v2.py</w:t>
            </w:r>
          </w:p>
        </w:tc>
        <w:tc>
          <w:tcPr>
            <w:tcW w:type="dxa" w:w="536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Normalize vendor KPIs, apply pillar sub-weights, compute composite score</w:t>
            </w:r>
          </w:p>
        </w:tc>
      </w:tr>
      <w:tr>
        <w:tc>
          <w:tcPr>
            <w:tcW w:type="dxa" w:w="15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3 — Simulation</w:t>
            </w:r>
          </w:p>
        </w:tc>
        <w:tc>
          <w:tcPr>
            <w:tcW w:type="dxa" w:w="25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simulation_v2.py</w:t>
            </w:r>
          </w:p>
        </w:tc>
        <w:tc>
          <w:tcPr>
            <w:tcW w:type="dxa" w:w="53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Monte Carlo stockout and cost model over 90-day horizon</w:t>
            </w:r>
          </w:p>
        </w:tc>
      </w:tr>
      <w:tr>
        <w:tc>
          <w:tcPr>
            <w:tcW w:type="dxa" w:w="15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4 — Presentation</w:t>
            </w:r>
          </w:p>
        </w:tc>
        <w:tc>
          <w:tcPr>
            <w:tcW w:type="dxa" w:w="25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dashboard_v2.py</w:t>
            </w:r>
          </w:p>
        </w:tc>
        <w:tc>
          <w:tcPr>
            <w:tcW w:type="dxa" w:w="536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Orchestrate stages 1–3, render interactive charts and KPI tiles</w:t>
            </w:r>
          </w:p>
        </w:tc>
      </w:tr>
    </w:tbl>
    <w:p>
      <w:pPr>
        <w:spacing w:after="40" w:before="40"/>
      </w:pPr>
      <w:r>
        <w:t xml:space="preserve"/>
      </w:r>
    </w:p>
    <w:p>
      <w:pPr>
        <w:spacing w:after="80" w:before="80"/>
        <w:jc w:val="left"/>
      </w:pPr>
      <w:r>
        <w:rPr>
          <w:rFonts w:ascii="Arial" w:cs="Arial" w:eastAsia="Arial" w:hAnsi="Arial"/>
          <w:b w:val="false"/>
          <w:bCs w:val="false"/>
          <w:i/>
          <w:iCs/>
          <w:color w:val="555555"/>
          <w:sz w:val="22"/>
          <w:szCs w:val="22"/>
        </w:rPr>
        <w:t xml:space="preserve">vendor_data_v2.py is loaded first; simulation_v2.py and scorecard_v2.py both import from it. The dashboard imports all three. No circular dependencies exist.</w:t>
      </w:r>
    </w:p>
    <w:p>
      <w:r>
        <w:br w:type="page"/>
      </w:r>
    </w:p>
    <w:p>
      <w:pPr>
        <w:pStyle w:val="Heading1"/>
        <w:pBdr>
          <w:bottom w:val="single" w:color="1B3A6B" w:sz="8" w:space="4"/>
        </w:pBdr>
        <w:spacing w:after="160" w:before="400"/>
      </w:pPr>
      <w:r>
        <w:rPr>
          <w:rFonts w:ascii="Arial" w:cs="Arial" w:eastAsia="Arial" w:hAnsi="Arial"/>
          <w:b/>
          <w:bCs/>
          <w:color w:val="1B3A6B"/>
          <w:sz w:val="36"/>
          <w:szCs w:val="36"/>
        </w:rPr>
        <w:t xml:space="preserve">3.  Row-Level KPI Formulas</w:t>
      </w:r>
    </w:p>
    <w:p>
      <w:pPr>
        <w:spacing w:after="80" w:before="80"/>
        <w:jc w:val="left"/>
      </w:pPr>
      <w:r>
        <w:rPr>
          <w:rFonts w:ascii="Arial" w:cs="Arial" w:eastAsia="Arial" w:hAnsi="Arial"/>
          <w:b w:val="false"/>
          <w:bCs w:val="false"/>
          <w:i w:val="false"/>
          <w:iCs w:val="false"/>
          <w:color w:val="000000"/>
          <w:sz w:val="22"/>
          <w:szCs w:val="22"/>
        </w:rPr>
        <w:t xml:space="preserve">These four formulas are applied to every individual row in the Sourcing Data sheet before any aggregation. Each row represents one product-vendor-order combination.</w:t>
      </w:r>
    </w:p>
    <w:p>
      <w:pPr>
        <w:spacing w:after="40" w:before="40"/>
      </w:pPr>
      <w:r>
        <w:t xml:space="preserve"/>
      </w:r>
    </w:p>
    <w:p>
      <w:pPr>
        <w:pStyle w:val="Heading2"/>
        <w:spacing w:after="120" w:before="320"/>
      </w:pPr>
      <w:r>
        <w:rPr>
          <w:rFonts w:ascii="Arial" w:cs="Arial" w:eastAsia="Arial" w:hAnsi="Arial"/>
          <w:b/>
          <w:bCs/>
          <w:color w:val="1D7A6B"/>
          <w:sz w:val="28"/>
          <w:szCs w:val="28"/>
        </w:rPr>
        <w:t xml:space="preserve">3.1  KPI 1 — CO₂ Emissions</w:t>
      </w:r>
    </w:p>
    <w:p>
      <w:pPr>
        <w:spacing w:after="80" w:before="80"/>
        <w:jc w:val="left"/>
      </w:pPr>
      <w:r>
        <w:rPr>
          <w:rFonts w:ascii="Arial" w:cs="Arial" w:eastAsia="Arial" w:hAnsi="Arial"/>
          <w:b w:val="false"/>
          <w:bCs w:val="false"/>
          <w:i w:val="false"/>
          <w:iCs w:val="false"/>
          <w:color w:val="000000"/>
          <w:sz w:val="22"/>
          <w:szCs w:val="22"/>
        </w:rPr>
        <w:t xml:space="preserve">Measures the greenhouse gas footprint of procuring one order of a given product from a given vendor.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D7A6B" w:sz="8"/>
              <w:left w:val="single" w:color="1D7A6B" w:sz="12"/>
              <w:bottom w:val="single" w:color="1D7A6B" w:sz="4"/>
              <w:right w:val="none" w:color="FFFFFF" w:sz="0"/>
            </w:tcBorders>
            <w:shd w:fill="E6F4F1" w:val="clear"/>
            <w:tcMar>
              <w:top w:type="dxa" w:w="100"/>
              <w:left w:type="dxa" w:w="180"/>
              <w:bottom w:type="dxa" w:w="100"/>
              <w:right w:type="dxa" w:w="180"/>
            </w:tcMar>
          </w:tcPr>
          <w:p>
            <w:pPr>
              <w:spacing w:after="60" w:before="0"/>
            </w:pPr>
            <w:r>
              <w:rPr>
                <w:rFonts w:ascii="Arial" w:cs="Arial" w:eastAsia="Arial" w:hAnsi="Arial"/>
                <w:b/>
                <w:bCs/>
                <w:color w:val="1D7A6B"/>
                <w:sz w:val="20"/>
                <w:szCs w:val="20"/>
              </w:rPr>
              <w:t xml:space="preserve">KPI 1:  </w:t>
            </w:r>
            <w:r>
              <w:rPr>
                <w:rFonts w:ascii="Courier New" w:cs="Courier New" w:eastAsia="Courier New" w:hAnsi="Courier New"/>
                <w:color w:val="1B3A6B"/>
                <w:sz w:val="20"/>
                <w:szCs w:val="20"/>
              </w:rPr>
              <w:t xml:space="preserve">CO2_Emissions = CO2_per_KG × Unit_Weight_kg × Quantity_Needed</w:t>
            </w:r>
          </w:p>
          <w:p>
            <w:pPr>
              <w:spacing w:after="0" w:before="0"/>
            </w:pPr>
            <w:r>
              <w:rPr>
                <w:rFonts w:ascii="Arial" w:cs="Arial" w:eastAsia="Arial" w:hAnsi="Arial"/>
                <w:i/>
                <w:iCs/>
                <w:color w:val="555555"/>
                <w:sz w:val="18"/>
                <w:szCs w:val="18"/>
              </w:rPr>
              <w:t xml:space="preserve">Units: kg CO₂ per order row</w:t>
            </w:r>
          </w:p>
        </w:tc>
      </w:tr>
    </w:tbl>
    <w:p>
      <w:pPr>
        <w:spacing w:after="40" w:before="40"/>
      </w:pPr>
      <w:r>
        <w:t xml:space="preserve"/>
      </w:r>
    </w:p>
    <w:p>
      <w:pPr>
        <w:spacing w:after="80" w:before="80"/>
        <w:jc w:val="left"/>
      </w:pPr>
      <w:r>
        <w:rPr>
          <w:rFonts w:ascii="Arial" w:cs="Arial" w:eastAsia="Arial" w:hAnsi="Arial"/>
          <w:b w:val="false"/>
          <w:bCs w:val="false"/>
          <w:i w:val="false"/>
          <w:iCs w:val="false"/>
          <w:color w:val="000000"/>
          <w:sz w:val="22"/>
          <w:szCs w:val="22"/>
        </w:rPr>
        <w:t xml:space="preserve">Component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30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Excel Column</w:t>
            </w:r>
          </w:p>
        </w:tc>
        <w:tc>
          <w:tcPr>
            <w:tcW w:type="dxa" w:w="43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Meaning</w:t>
            </w:r>
          </w:p>
        </w:tc>
      </w:tr>
      <w:tr>
        <w:tc>
          <w:tcPr>
            <w:tcW w:type="dxa" w:w="20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CO2_per_KG</w:t>
            </w:r>
          </w:p>
        </w:tc>
        <w:tc>
          <w:tcPr>
            <w:tcW w:type="dxa" w:w="30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CO2 Emissions per KG</w:t>
            </w:r>
          </w:p>
        </w:tc>
        <w:tc>
          <w:tcPr>
            <w:tcW w:type="dxa" w:w="43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Emission intensity of the shipment (kg CO₂ per kg of goods shipped), accounts for transport mode and distance</w:t>
            </w:r>
          </w:p>
        </w:tc>
      </w:tr>
      <w:tr>
        <w:tc>
          <w:tcPr>
            <w:tcW w:type="dxa" w:w="20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Unit_Weight_kg</w:t>
            </w:r>
          </w:p>
        </w:tc>
        <w:tc>
          <w:tcPr>
            <w:tcW w:type="dxa" w:w="30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Unit Weight (kg)</w:t>
            </w:r>
          </w:p>
        </w:tc>
        <w:tc>
          <w:tcPr>
            <w:tcW w:type="dxa" w:w="436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Weight of one unit of the product in kilograms</w:t>
            </w:r>
          </w:p>
        </w:tc>
      </w:tr>
      <w:tr>
        <w:tc>
          <w:tcPr>
            <w:tcW w:type="dxa" w:w="20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Quantity_Needed</w:t>
            </w:r>
          </w:p>
        </w:tc>
        <w:tc>
          <w:tcPr>
            <w:tcW w:type="dxa" w:w="30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Quantity Needed</w:t>
            </w:r>
          </w:p>
        </w:tc>
        <w:tc>
          <w:tcPr>
            <w:tcW w:type="dxa" w:w="43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Number of units in this order row</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7A6B" w:sz="6"/>
              <w:left w:val="single" w:color="1D7A6B" w:sz="20"/>
              <w:bottom w:val="single" w:color="1D7A6B" w:sz="6"/>
              <w:right w:val="none" w:color="FFFFFF" w:sz="0"/>
            </w:tcBorders>
            <w:shd w:fill="E6F4F1" w:val="clear"/>
            <w:tcMar>
              <w:top w:type="dxa" w:w="100"/>
              <w:left w:type="dxa" w:w="200"/>
              <w:bottom w:type="dxa" w:w="100"/>
              <w:right w:type="dxa" w:w="180"/>
            </w:tcMar>
          </w:tcPr>
          <w:p>
            <w:pPr>
              <w:spacing w:after="60" w:before="0"/>
            </w:pPr>
            <w:r>
              <w:rPr>
                <w:rFonts w:ascii="Arial" w:cs="Arial" w:eastAsia="Arial" w:hAnsi="Arial"/>
                <w:b/>
                <w:bCs/>
                <w:color w:val="1D7A6B"/>
                <w:sz w:val="22"/>
                <w:szCs w:val="22"/>
              </w:rPr>
              <w:t xml:space="preserve">Why multiply all three?</w:t>
            </w:r>
          </w:p>
          <w:p>
            <w:pPr>
              <w:spacing w:after="0" w:before="0"/>
            </w:pPr>
            <w:r>
              <w:rPr>
                <w:rFonts w:ascii="Arial" w:cs="Arial" w:eastAsia="Arial" w:hAnsi="Arial"/>
                <w:color w:val="000000"/>
                <w:sz w:val="21"/>
                <w:szCs w:val="21"/>
              </w:rPr>
              <w:t xml:space="preserve">CO2_per_KG captures emission intensity per unit mass. Multiplying by unit weight converts to emissions per unit of product. Multiplying by quantity scales to the full order size. The result is the total kg CO₂ attributable to this specific order.</w:t>
            </w:r>
          </w:p>
        </w:tc>
      </w:tr>
    </w:tbl>
    <w:p>
      <w:pPr>
        <w:spacing w:after="40" w:before="40"/>
      </w:pPr>
      <w:r>
        <w:t xml:space="preserve"/>
      </w:r>
    </w:p>
    <w:p>
      <w:pPr>
        <w:pStyle w:val="Heading2"/>
        <w:spacing w:after="120" w:before="320"/>
      </w:pPr>
      <w:r>
        <w:rPr>
          <w:rFonts w:ascii="Arial" w:cs="Arial" w:eastAsia="Arial" w:hAnsi="Arial"/>
          <w:b/>
          <w:bCs/>
          <w:color w:val="1D7A6B"/>
          <w:sz w:val="28"/>
          <w:szCs w:val="28"/>
        </w:rPr>
        <w:t xml:space="preserve">3.2  KPI 2 — Total Procurement Cost</w:t>
      </w:r>
    </w:p>
    <w:p>
      <w:pPr>
        <w:spacing w:after="80" w:before="80"/>
        <w:jc w:val="left"/>
      </w:pPr>
      <w:r>
        <w:rPr>
          <w:rFonts w:ascii="Arial" w:cs="Arial" w:eastAsia="Arial" w:hAnsi="Arial"/>
          <w:b w:val="false"/>
          <w:bCs w:val="false"/>
          <w:i w:val="false"/>
          <w:iCs w:val="false"/>
          <w:color w:val="000000"/>
          <w:sz w:val="22"/>
          <w:szCs w:val="22"/>
        </w:rPr>
        <w:t xml:space="preserve">Captures the full landed cost of a procurement order: what you pay for the goods, the cost of shipping them by weight, and any fixed in-transit overhead charges.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D7A6B" w:sz="8"/>
              <w:left w:val="single" w:color="1D7A6B" w:sz="12"/>
              <w:bottom w:val="single" w:color="1D7A6B" w:sz="4"/>
              <w:right w:val="none" w:color="FFFFFF" w:sz="0"/>
            </w:tcBorders>
            <w:shd w:fill="E6F4F1" w:val="clear"/>
            <w:tcMar>
              <w:top w:type="dxa" w:w="100"/>
              <w:left w:type="dxa" w:w="180"/>
              <w:bottom w:type="dxa" w:w="100"/>
              <w:right w:type="dxa" w:w="180"/>
            </w:tcMar>
          </w:tcPr>
          <w:p>
            <w:pPr>
              <w:spacing w:after="60" w:before="0"/>
            </w:pPr>
            <w:r>
              <w:rPr>
                <w:rFonts w:ascii="Arial" w:cs="Arial" w:eastAsia="Arial" w:hAnsi="Arial"/>
                <w:b/>
                <w:bCs/>
                <w:color w:val="1D7A6B"/>
                <w:sz w:val="20"/>
                <w:szCs w:val="20"/>
              </w:rPr>
              <w:t xml:space="preserve">KPI 2:  </w:t>
            </w:r>
            <w:r>
              <w:rPr>
                <w:rFonts w:ascii="Courier New" w:cs="Courier New" w:eastAsia="Courier New" w:hAnsi="Courier New"/>
                <w:color w:val="1B3A6B"/>
                <w:sz w:val="20"/>
                <w:szCs w:val="20"/>
              </w:rPr>
              <w:t xml:space="preserve">Total_Cost = (Purchase_Price × Quantity_Needed)
                   + (Shipping_Cost_per_KG × Unit_Weight_kg × Quantity_Needed)
                   + In_Transit_Costs</w:t>
            </w:r>
          </w:p>
          <w:p>
            <w:pPr>
              <w:spacing w:after="0" w:before="0"/>
            </w:pPr>
            <w:r>
              <w:rPr>
                <w:rFonts w:ascii="Arial" w:cs="Arial" w:eastAsia="Arial" w:hAnsi="Arial"/>
                <w:i/>
                <w:iCs/>
                <w:color w:val="555555"/>
                <w:sz w:val="18"/>
                <w:szCs w:val="18"/>
              </w:rPr>
              <w:t xml:space="preserve">Units: USD per order row</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30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Excel Column</w:t>
            </w:r>
          </w:p>
        </w:tc>
        <w:tc>
          <w:tcPr>
            <w:tcW w:type="dxa" w:w="41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Meaning</w:t>
            </w:r>
          </w:p>
        </w:tc>
      </w:tr>
      <w:tr>
        <w:tc>
          <w:tcPr>
            <w:tcW w:type="dxa" w:w="22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Purchase_Price</w:t>
            </w:r>
          </w:p>
        </w:tc>
        <w:tc>
          <w:tcPr>
            <w:tcW w:type="dxa" w:w="30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Purchase Price ($)</w:t>
            </w:r>
          </w:p>
        </w:tc>
        <w:tc>
          <w:tcPr>
            <w:tcW w:type="dxa" w:w="41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Unit purchase price from the vendor in USD</w:t>
            </w:r>
          </w:p>
        </w:tc>
      </w:tr>
      <w:tr>
        <w:tc>
          <w:tcPr>
            <w:tcW w:type="dxa" w:w="22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Quantity_Needed</w:t>
            </w:r>
          </w:p>
        </w:tc>
        <w:tc>
          <w:tcPr>
            <w:tcW w:type="dxa" w:w="30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Quantity Needed</w:t>
            </w:r>
          </w:p>
        </w:tc>
        <w:tc>
          <w:tcPr>
            <w:tcW w:type="dxa" w:w="416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Number of units ordered</w:t>
            </w:r>
          </w:p>
        </w:tc>
      </w:tr>
      <w:tr>
        <w:tc>
          <w:tcPr>
            <w:tcW w:type="dxa" w:w="22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Shipping_Cost_per_KG</w:t>
            </w:r>
          </w:p>
        </w:tc>
        <w:tc>
          <w:tcPr>
            <w:tcW w:type="dxa" w:w="30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Shipping Cost per KG ($)</w:t>
            </w:r>
          </w:p>
        </w:tc>
        <w:tc>
          <w:tcPr>
            <w:tcW w:type="dxa" w:w="41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Weight-based shipping rate in USD/kg</w:t>
            </w:r>
          </w:p>
        </w:tc>
      </w:tr>
      <w:tr>
        <w:tc>
          <w:tcPr>
            <w:tcW w:type="dxa" w:w="22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Unit_Weight_kg</w:t>
            </w:r>
          </w:p>
        </w:tc>
        <w:tc>
          <w:tcPr>
            <w:tcW w:type="dxa" w:w="30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Unit Weight (kg)</w:t>
            </w:r>
          </w:p>
        </w:tc>
        <w:tc>
          <w:tcPr>
            <w:tcW w:type="dxa" w:w="416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Weight of one unit in kg</w:t>
            </w:r>
          </w:p>
        </w:tc>
      </w:tr>
      <w:tr>
        <w:tc>
          <w:tcPr>
            <w:tcW w:type="dxa" w:w="22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In_Transit_Costs</w:t>
            </w:r>
          </w:p>
        </w:tc>
        <w:tc>
          <w:tcPr>
            <w:tcW w:type="dxa" w:w="30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In-Transit Costs ($)</w:t>
            </w:r>
          </w:p>
        </w:tc>
        <w:tc>
          <w:tcPr>
            <w:tcW w:type="dxa" w:w="41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Fixed per-order handling, customs, insurance costs in USD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7A6B" w:sz="6"/>
              <w:left w:val="single" w:color="1D7A6B" w:sz="20"/>
              <w:bottom w:val="single" w:color="1D7A6B" w:sz="6"/>
              <w:right w:val="none" w:color="FFFFFF" w:sz="0"/>
            </w:tcBorders>
            <w:shd w:fill="E6F4F1" w:val="clear"/>
            <w:tcMar>
              <w:top w:type="dxa" w:w="100"/>
              <w:left w:type="dxa" w:w="200"/>
              <w:bottom w:type="dxa" w:w="100"/>
              <w:right w:type="dxa" w:w="180"/>
            </w:tcMar>
          </w:tcPr>
          <w:p>
            <w:pPr>
              <w:spacing w:after="60" w:before="0"/>
            </w:pPr>
            <w:r>
              <w:rPr>
                <w:rFonts w:ascii="Arial" w:cs="Arial" w:eastAsia="Arial" w:hAnsi="Arial"/>
                <w:b/>
                <w:bCs/>
                <w:color w:val="1D7A6B"/>
                <w:sz w:val="22"/>
                <w:szCs w:val="22"/>
              </w:rPr>
              <w:t xml:space="preserve">Three-part cost decomposition</w:t>
            </w:r>
          </w:p>
          <w:p>
            <w:pPr>
              <w:spacing w:after="0" w:before="0"/>
            </w:pPr>
            <w:r>
              <w:rPr>
                <w:rFonts w:ascii="Arial" w:cs="Arial" w:eastAsia="Arial" w:hAnsi="Arial"/>
                <w:color w:val="000000"/>
                <w:sz w:val="21"/>
                <w:szCs w:val="21"/>
              </w:rPr>
              <w:t xml:space="preserve">The formula is intentionally split into three additive terms so that the dashboard can display them as a stacked bar chart — purchase cost vs. shipping cost vs. in-transit cost. This allows analysts to see which cost driver dominates for each vendor, rather than seeing only a single opaque total.</w:t>
            </w:r>
          </w:p>
        </w:tc>
      </w:tr>
    </w:tbl>
    <w:p>
      <w:pPr>
        <w:spacing w:after="40" w:before="40"/>
      </w:pPr>
      <w:r>
        <w:t xml:space="preserve"/>
      </w:r>
    </w:p>
    <w:p>
      <w:pPr>
        <w:pStyle w:val="Heading2"/>
        <w:spacing w:after="120" w:before="320"/>
      </w:pPr>
      <w:r>
        <w:rPr>
          <w:rFonts w:ascii="Arial" w:cs="Arial" w:eastAsia="Arial" w:hAnsi="Arial"/>
          <w:b/>
          <w:bCs/>
          <w:color w:val="1D7A6B"/>
          <w:sz w:val="28"/>
          <w:szCs w:val="28"/>
        </w:rPr>
        <w:t xml:space="preserve">3.3  KPI 3 — Lead Time</w:t>
      </w:r>
    </w:p>
    <w:p>
      <w:pPr>
        <w:spacing w:after="80" w:before="80"/>
        <w:jc w:val="left"/>
      </w:pPr>
      <w:r>
        <w:rPr>
          <w:rFonts w:ascii="Arial" w:cs="Arial" w:eastAsia="Arial" w:hAnsi="Arial"/>
          <w:b w:val="false"/>
          <w:bCs w:val="false"/>
          <w:i w:val="false"/>
          <w:iCs w:val="false"/>
          <w:color w:val="000000"/>
          <w:sz w:val="22"/>
          <w:szCs w:val="22"/>
        </w:rPr>
        <w:t xml:space="preserve">Lead time is a direct column read from the dataset, not a derived formula.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D7A6B" w:sz="8"/>
              <w:left w:val="single" w:color="1D7A6B" w:sz="12"/>
              <w:bottom w:val="single" w:color="1D7A6B" w:sz="4"/>
              <w:right w:val="none" w:color="FFFFFF" w:sz="0"/>
            </w:tcBorders>
            <w:shd w:fill="E6F4F1" w:val="clear"/>
            <w:tcMar>
              <w:top w:type="dxa" w:w="100"/>
              <w:left w:type="dxa" w:w="180"/>
              <w:bottom w:type="dxa" w:w="100"/>
              <w:right w:type="dxa" w:w="180"/>
            </w:tcMar>
          </w:tcPr>
          <w:p>
            <w:pPr>
              <w:spacing w:after="60" w:before="0"/>
            </w:pPr>
            <w:r>
              <w:rPr>
                <w:rFonts w:ascii="Arial" w:cs="Arial" w:eastAsia="Arial" w:hAnsi="Arial"/>
                <w:b/>
                <w:bCs/>
                <w:color w:val="1D7A6B"/>
                <w:sz w:val="20"/>
                <w:szCs w:val="20"/>
              </w:rPr>
              <w:t xml:space="preserve">KPI 3:  </w:t>
            </w:r>
            <w:r>
              <w:rPr>
                <w:rFonts w:ascii="Courier New" w:cs="Courier New" w:eastAsia="Courier New" w:hAnsi="Courier New"/>
                <w:color w:val="1B3A6B"/>
                <w:sz w:val="20"/>
                <w:szCs w:val="20"/>
              </w:rPr>
              <w:t xml:space="preserve">Lead_Time = Lead_Time_(days)    [direct column, no transformation]</w:t>
            </w:r>
          </w:p>
          <w:p>
            <w:pPr>
              <w:spacing w:after="0" w:before="0"/>
            </w:pPr>
            <w:r>
              <w:rPr>
                <w:rFonts w:ascii="Arial" w:cs="Arial" w:eastAsia="Arial" w:hAnsi="Arial"/>
                <w:i/>
                <w:iCs/>
                <w:color w:val="555555"/>
                <w:sz w:val="18"/>
                <w:szCs w:val="18"/>
              </w:rPr>
              <w:t xml:space="preserve">Units: calendar days from order placement to goods receipt</w:t>
            </w:r>
          </w:p>
        </w:tc>
      </w:tr>
    </w:tbl>
    <w:p>
      <w:pPr>
        <w:spacing w:after="40" w:before="40"/>
      </w:pPr>
      <w:r>
        <w:t xml:space="preserve"/>
      </w:r>
    </w:p>
    <w:p>
      <w:pPr>
        <w:spacing w:after="80" w:before="80"/>
        <w:jc w:val="left"/>
      </w:pPr>
      <w:r>
        <w:rPr>
          <w:rFonts w:ascii="Arial" w:cs="Arial" w:eastAsia="Arial" w:hAnsi="Arial"/>
          <w:b w:val="false"/>
          <w:bCs w:val="false"/>
          <w:i w:val="false"/>
          <w:iCs w:val="false"/>
          <w:color w:val="000000"/>
          <w:sz w:val="22"/>
          <w:szCs w:val="22"/>
        </w:rPr>
        <w:t xml:space="preserve">Two statistics are computed per vendor during aggregation: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Statistic</w:t>
            </w:r>
          </w:p>
        </w:tc>
        <w:tc>
          <w:tcPr>
            <w:tcW w:type="dxa" w:w="25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Pandas operation</w:t>
            </w:r>
          </w:p>
        </w:tc>
        <w:tc>
          <w:tcPr>
            <w:tcW w:type="dxa" w:w="46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 in system</w:t>
            </w:r>
          </w:p>
        </w:tc>
      </w:tr>
      <w:tr>
        <w:tc>
          <w:tcPr>
            <w:tcW w:type="dxa" w:w="22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lead_time_days</w:t>
            </w:r>
          </w:p>
        </w:tc>
        <w:tc>
          <w:tcPr>
            <w:tcW w:type="dxa" w:w="25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.mean()</w:t>
            </w:r>
          </w:p>
        </w:tc>
        <w:tc>
          <w:tcPr>
            <w:tcW w:type="dxa" w:w="46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Expected lead time used in reorder point logic and scorecard</w:t>
            </w:r>
          </w:p>
        </w:tc>
      </w:tr>
      <w:tr>
        <w:tc>
          <w:tcPr>
            <w:tcW w:type="dxa" w:w="22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lead_time_std</w:t>
            </w:r>
          </w:p>
        </w:tc>
        <w:tc>
          <w:tcPr>
            <w:tcW w:type="dxa" w:w="25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.std()</w:t>
            </w:r>
          </w:p>
        </w:tc>
        <w:tc>
          <w:tcPr>
            <w:tcW w:type="dxa" w:w="466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Variability used to sample random lead times in Monte Carlo simulation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20"/>
              <w:bottom w:val="single" w:color="1B3A6B" w:sz="6"/>
              <w:right w:val="none" w:color="FFFFFF" w:sz="0"/>
            </w:tcBorders>
            <w:shd w:fill="EEF4FB" w:val="clear"/>
            <w:tcMar>
              <w:top w:type="dxa" w:w="100"/>
              <w:left w:type="dxa" w:w="200"/>
              <w:bottom w:type="dxa" w:w="100"/>
              <w:right w:type="dxa" w:w="180"/>
            </w:tcMar>
          </w:tcPr>
          <w:p>
            <w:pPr>
              <w:spacing w:after="60" w:before="0"/>
            </w:pPr>
            <w:r>
              <w:rPr>
                <w:rFonts w:ascii="Arial" w:cs="Arial" w:eastAsia="Arial" w:hAnsi="Arial"/>
                <w:b/>
                <w:bCs/>
                <w:color w:val="1B3A6B"/>
                <w:sz w:val="22"/>
                <w:szCs w:val="22"/>
              </w:rPr>
              <w:t xml:space="preserve">Lead time in the scorecard vs. simulation</w:t>
            </w:r>
          </w:p>
          <w:p>
            <w:pPr>
              <w:spacing w:after="0" w:before="0"/>
            </w:pPr>
            <w:r>
              <w:rPr>
                <w:rFonts w:ascii="Arial" w:cs="Arial" w:eastAsia="Arial" w:hAnsi="Arial"/>
                <w:color w:val="000000"/>
                <w:sz w:val="21"/>
                <w:szCs w:val="21"/>
              </w:rPr>
              <w:t xml:space="preserve">Lead time does not have a direct sub-weight in the scorecard pillars. Instead, it acts indirectly: longer or more variable lead times increase stockout probability in the Monte Carlo simulation, which increases average penalty cost, which reduces the Economic pillar score via the penalty sub-weight (15% of Economic). This is an intentional design choice — the system penalizes the economic consequence of slow delivery rather than the raw days figure.</w:t>
            </w:r>
          </w:p>
        </w:tc>
      </w:tr>
    </w:tbl>
    <w:p>
      <w:pPr>
        <w:spacing w:after="40" w:before="40"/>
      </w:pPr>
      <w:r>
        <w:t xml:space="preserve"/>
      </w:r>
    </w:p>
    <w:p>
      <w:pPr>
        <w:pStyle w:val="Heading2"/>
        <w:spacing w:after="120" w:before="320"/>
      </w:pPr>
      <w:r>
        <w:rPr>
          <w:rFonts w:ascii="Arial" w:cs="Arial" w:eastAsia="Arial" w:hAnsi="Arial"/>
          <w:b/>
          <w:bCs/>
          <w:color w:val="1D7A6B"/>
          <w:sz w:val="28"/>
          <w:szCs w:val="28"/>
        </w:rPr>
        <w:t xml:space="preserve">3.4  KPI 4 — MOQ Impact</w:t>
      </w:r>
    </w:p>
    <w:p>
      <w:pPr>
        <w:spacing w:after="80" w:before="80"/>
        <w:jc w:val="left"/>
      </w:pPr>
      <w:r>
        <w:rPr>
          <w:rFonts w:ascii="Arial" w:cs="Arial" w:eastAsia="Arial" w:hAnsi="Arial"/>
          <w:b w:val="false"/>
          <w:bCs w:val="false"/>
          <w:i w:val="false"/>
          <w:iCs w:val="false"/>
          <w:color w:val="000000"/>
          <w:sz w:val="22"/>
          <w:szCs w:val="22"/>
        </w:rPr>
        <w:t xml:space="preserve">Measures how much a vendor's minimum order quantity forces NJ Transit to over-order relative to what is actually needed.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D7A6B" w:sz="8"/>
              <w:left w:val="single" w:color="1D7A6B" w:sz="12"/>
              <w:bottom w:val="single" w:color="1D7A6B" w:sz="4"/>
              <w:right w:val="none" w:color="FFFFFF" w:sz="0"/>
            </w:tcBorders>
            <w:shd w:fill="E6F4F1" w:val="clear"/>
            <w:tcMar>
              <w:top w:type="dxa" w:w="100"/>
              <w:left w:type="dxa" w:w="180"/>
              <w:bottom w:type="dxa" w:w="100"/>
              <w:right w:type="dxa" w:w="180"/>
            </w:tcMar>
          </w:tcPr>
          <w:p>
            <w:pPr>
              <w:spacing w:after="60" w:before="0"/>
            </w:pPr>
            <w:r>
              <w:rPr>
                <w:rFonts w:ascii="Arial" w:cs="Arial" w:eastAsia="Arial" w:hAnsi="Arial"/>
                <w:b/>
                <w:bCs/>
                <w:color w:val="1D7A6B"/>
                <w:sz w:val="20"/>
                <w:szCs w:val="20"/>
              </w:rPr>
              <w:t xml:space="preserve">KPI 4:  </w:t>
            </w:r>
            <w:r>
              <w:rPr>
                <w:rFonts w:ascii="Courier New" w:cs="Courier New" w:eastAsia="Courier New" w:hAnsi="Courier New"/>
                <w:color w:val="1B3A6B"/>
                <w:sz w:val="20"/>
                <w:szCs w:val="20"/>
              </w:rPr>
              <w:t xml:space="preserve">MOQ_Impact = MOQ_Units ÷ Quantity_Needed</w:t>
            </w:r>
          </w:p>
          <w:p>
            <w:pPr>
              <w:spacing w:after="0" w:before="0"/>
            </w:pPr>
            <w:r>
              <w:rPr>
                <w:rFonts w:ascii="Arial" w:cs="Arial" w:eastAsia="Arial" w:hAnsi="Arial"/>
                <w:i/>
                <w:iCs/>
                <w:color w:val="555555"/>
                <w:sz w:val="18"/>
                <w:szCs w:val="18"/>
              </w:rPr>
              <w:t xml:space="preserve">Dimensionless ratio; averaged per vendor after row-level calculation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71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Interpretation</w:t>
            </w:r>
          </w:p>
        </w:tc>
      </w:tr>
      <w:tr>
        <w:tc>
          <w:tcPr>
            <w:tcW w:type="dxa" w:w="22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MOQ_Impact &lt; 1.0</w:t>
            </w:r>
          </w:p>
        </w:tc>
        <w:tc>
          <w:tcPr>
            <w:tcW w:type="dxa" w:w="71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Vendor's minimum order is smaller than what NJ Transit needs — no over-ordering forced</w:t>
            </w:r>
          </w:p>
        </w:tc>
      </w:tr>
      <w:tr>
        <w:tc>
          <w:tcPr>
            <w:tcW w:type="dxa" w:w="22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MOQ_Impact = 1.0</w:t>
            </w:r>
          </w:p>
        </w:tc>
        <w:tc>
          <w:tcPr>
            <w:tcW w:type="dxa" w:w="716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Minimum order exactly matches demand — perfectly efficient</w:t>
            </w:r>
          </w:p>
        </w:tc>
      </w:tr>
      <w:tr>
        <w:tc>
          <w:tcPr>
            <w:tcW w:type="dxa" w:w="22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MOQ_Impact &gt; 1.0</w:t>
            </w:r>
          </w:p>
        </w:tc>
        <w:tc>
          <w:tcPr>
            <w:tcW w:type="dxa" w:w="71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Vendor forces NJ Transit to order more than needed, increasing holding cost and warehouse space consumption</w:t>
            </w:r>
          </w:p>
        </w:tc>
      </w:tr>
    </w:tbl>
    <w:p>
      <w:pPr>
        <w:spacing w:after="40" w:before="40"/>
      </w:pPr>
      <w:r>
        <w:t xml:space="preserve"/>
      </w:r>
    </w:p>
    <w:p>
      <w:pPr>
        <w:pStyle w:val="Heading2"/>
        <w:spacing w:after="120" w:before="320"/>
      </w:pPr>
      <w:r>
        <w:rPr>
          <w:rFonts w:ascii="Arial" w:cs="Arial" w:eastAsia="Arial" w:hAnsi="Arial"/>
          <w:b/>
          <w:bCs/>
          <w:color w:val="1D7A6B"/>
          <w:sz w:val="28"/>
          <w:szCs w:val="28"/>
        </w:rPr>
        <w:t xml:space="preserve">3.5  On-Time Rate (Supporting KPI)</w:t>
      </w:r>
    </w:p>
    <w:p>
      <w:pPr>
        <w:spacing w:after="80" w:before="80"/>
        <w:jc w:val="left"/>
      </w:pPr>
      <w:r>
        <w:rPr>
          <w:rFonts w:ascii="Arial" w:cs="Arial" w:eastAsia="Arial" w:hAnsi="Arial"/>
          <w:b w:val="false"/>
          <w:bCs w:val="false"/>
          <w:i w:val="false"/>
          <w:iCs w:val="false"/>
          <w:color w:val="000000"/>
          <w:sz w:val="22"/>
          <w:szCs w:val="22"/>
        </w:rPr>
        <w:t xml:space="preserve">Used as a secondary Environmental sub-KPI (supply reliability). Computed per row, then averaged per vendor.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D7A6B" w:sz="8"/>
              <w:left w:val="single" w:color="1D7A6B" w:sz="12"/>
              <w:bottom w:val="single" w:color="1D7A6B" w:sz="4"/>
              <w:right w:val="none" w:color="FFFFFF" w:sz="0"/>
            </w:tcBorders>
            <w:shd w:fill="E6F4F1" w:val="clear"/>
            <w:tcMar>
              <w:top w:type="dxa" w:w="100"/>
              <w:left w:type="dxa" w:w="180"/>
              <w:bottom w:type="dxa" w:w="100"/>
              <w:right w:type="dxa" w:w="180"/>
            </w:tcMar>
          </w:tcPr>
          <w:p>
            <w:pPr>
              <w:spacing w:after="0" w:before="0"/>
            </w:pPr>
            <w:r>
              <w:rPr>
                <w:rFonts w:ascii="Arial" w:cs="Arial" w:eastAsia="Arial" w:hAnsi="Arial"/>
                <w:b/>
                <w:bCs/>
                <w:color w:val="1D7A6B"/>
                <w:sz w:val="20"/>
                <w:szCs w:val="20"/>
              </w:rPr>
              <w:t xml:space="preserve">Step 1:  </w:t>
            </w:r>
            <w:r>
              <w:rPr>
                <w:rFonts w:ascii="Courier New" w:cs="Courier New" w:eastAsia="Courier New" w:hAnsi="Courier New"/>
                <w:color w:val="1B3A6B"/>
                <w:sz w:val="20"/>
                <w:szCs w:val="20"/>
              </w:rPr>
              <w:t xml:space="preserve">Days_Available = Required_Date - Order_Date     [pandas datetime subtraction, result in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D7A6B" w:sz="8"/>
              <w:left w:val="single" w:color="1D7A6B" w:sz="12"/>
              <w:bottom w:val="single" w:color="1D7A6B" w:sz="4"/>
              <w:right w:val="none" w:color="FFFFFF" w:sz="0"/>
            </w:tcBorders>
            <w:shd w:fill="E6F4F1" w:val="clear"/>
            <w:tcMar>
              <w:top w:type="dxa" w:w="100"/>
              <w:left w:type="dxa" w:w="180"/>
              <w:bottom w:type="dxa" w:w="100"/>
              <w:right w:type="dxa" w:w="180"/>
            </w:tcMar>
          </w:tcPr>
          <w:p>
            <w:pPr>
              <w:spacing w:after="0" w:before="0"/>
            </w:pPr>
            <w:r>
              <w:rPr>
                <w:rFonts w:ascii="Arial" w:cs="Arial" w:eastAsia="Arial" w:hAnsi="Arial"/>
                <w:b/>
                <w:bCs/>
                <w:color w:val="1D7A6B"/>
                <w:sz w:val="20"/>
                <w:szCs w:val="20"/>
              </w:rPr>
              <w:t xml:space="preserve">Step 2:  </w:t>
            </w:r>
            <w:r>
              <w:rPr>
                <w:rFonts w:ascii="Courier New" w:cs="Courier New" w:eastAsia="Courier New" w:hAnsi="Courier New"/>
                <w:color w:val="1B3A6B"/>
                <w:sz w:val="20"/>
                <w:szCs w:val="20"/>
              </w:rPr>
              <w:t xml:space="preserve">On_Time = 1 if Days_Available ≥ Lead_Time_days, else 0     [binary flag per row]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D7A6B" w:sz="8"/>
              <w:left w:val="single" w:color="1D7A6B" w:sz="12"/>
              <w:bottom w:val="single" w:color="1D7A6B" w:sz="4"/>
              <w:right w:val="none" w:color="FFFFFF" w:sz="0"/>
            </w:tcBorders>
            <w:shd w:fill="E6F4F1" w:val="clear"/>
            <w:tcMar>
              <w:top w:type="dxa" w:w="100"/>
              <w:left w:type="dxa" w:w="180"/>
              <w:bottom w:type="dxa" w:w="100"/>
              <w:right w:type="dxa" w:w="180"/>
            </w:tcMar>
          </w:tcPr>
          <w:p>
            <w:pPr>
              <w:spacing w:after="0" w:before="0"/>
            </w:pPr>
            <w:r>
              <w:rPr>
                <w:rFonts w:ascii="Arial" w:cs="Arial" w:eastAsia="Arial" w:hAnsi="Arial"/>
                <w:b/>
                <w:bCs/>
                <w:color w:val="1D7A6B"/>
                <w:sz w:val="20"/>
                <w:szCs w:val="20"/>
              </w:rPr>
              <w:t xml:space="preserve">Step 3:  </w:t>
            </w:r>
            <w:r>
              <w:rPr>
                <w:rFonts w:ascii="Courier New" w:cs="Courier New" w:eastAsia="Courier New" w:hAnsi="Courier New"/>
                <w:color w:val="1B3A6B"/>
                <w:sz w:val="20"/>
                <w:szCs w:val="20"/>
              </w:rPr>
              <w:t xml:space="preserve">on_time_rate = mean(On_Time) per vendor     [0.0 = never on time; 1.0 = always on time]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7A6B" w:sz="6"/>
              <w:left w:val="single" w:color="1D7A6B" w:sz="20"/>
              <w:bottom w:val="single" w:color="1D7A6B" w:sz="6"/>
              <w:right w:val="none" w:color="FFFFFF" w:sz="0"/>
            </w:tcBorders>
            <w:shd w:fill="E6F4F1" w:val="clear"/>
            <w:tcMar>
              <w:top w:type="dxa" w:w="100"/>
              <w:left w:type="dxa" w:w="200"/>
              <w:bottom w:type="dxa" w:w="100"/>
              <w:right w:type="dxa" w:w="180"/>
            </w:tcMar>
          </w:tcPr>
          <w:p>
            <w:pPr>
              <w:spacing w:after="60" w:before="0"/>
            </w:pPr>
            <w:r>
              <w:rPr>
                <w:rFonts w:ascii="Arial" w:cs="Arial" w:eastAsia="Arial" w:hAnsi="Arial"/>
                <w:b/>
                <w:bCs/>
                <w:color w:val="1D7A6B"/>
                <w:sz w:val="22"/>
                <w:szCs w:val="22"/>
              </w:rPr>
              <w:t xml:space="preserve">Interpretation</w:t>
            </w:r>
          </w:p>
          <w:p>
            <w:pPr>
              <w:spacing w:after="0" w:before="0"/>
            </w:pPr>
            <w:r>
              <w:rPr>
                <w:rFonts w:ascii="Arial" w:cs="Arial" w:eastAsia="Arial" w:hAnsi="Arial"/>
                <w:color w:val="000000"/>
                <w:sz w:val="21"/>
                <w:szCs w:val="21"/>
              </w:rPr>
              <w:t xml:space="preserve">Days_Available is how many days existed between when the order was placed and when it was needed. If that window is at least as large as the vendor's lead time, the order could arrive on time. This is a conservative estimate — it assumes procurement places the order on the Order Date and requires receipt by the Required Date.</w:t>
            </w:r>
          </w:p>
        </w:tc>
      </w:tr>
    </w:tbl>
    <w:p>
      <w:r>
        <w:br w:type="page"/>
      </w:r>
    </w:p>
    <w:p>
      <w:pPr>
        <w:pStyle w:val="Heading1"/>
        <w:pBdr>
          <w:bottom w:val="single" w:color="1B3A6B" w:sz="8" w:space="4"/>
        </w:pBdr>
        <w:spacing w:after="160" w:before="400"/>
      </w:pPr>
      <w:r>
        <w:rPr>
          <w:rFonts w:ascii="Arial" w:cs="Arial" w:eastAsia="Arial" w:hAnsi="Arial"/>
          <w:b/>
          <w:bCs/>
          <w:color w:val="1B3A6B"/>
          <w:sz w:val="36"/>
          <w:szCs w:val="36"/>
        </w:rPr>
        <w:t xml:space="preserve">4.  Vendor-Level Aggregation</w:t>
      </w:r>
    </w:p>
    <w:p>
      <w:pPr>
        <w:spacing w:after="80" w:before="80"/>
        <w:jc w:val="left"/>
      </w:pPr>
      <w:r>
        <w:rPr>
          <w:rFonts w:ascii="Arial" w:cs="Arial" w:eastAsia="Arial" w:hAnsi="Arial"/>
          <w:b w:val="false"/>
          <w:bCs w:val="false"/>
          <w:i w:val="false"/>
          <w:iCs w:val="false"/>
          <w:color w:val="000000"/>
          <w:sz w:val="22"/>
          <w:szCs w:val="22"/>
        </w:rPr>
        <w:t xml:space="preserve">After row-level KPI computation, all rows belonging to each vendor (Location Type = "Vendor") are grouped by vendor name. The aggregation operations applied to each KPI column are: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16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Aggregation</w:t>
            </w:r>
          </w:p>
        </w:tc>
        <w:tc>
          <w:tcPr>
            <w:tcW w:type="dxa" w:w="49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r>
      <w:tr>
        <w:tc>
          <w:tcPr>
            <w:tcW w:type="dxa" w:w="28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co2_emissions_total</w:t>
            </w:r>
          </w:p>
        </w:tc>
        <w:tc>
          <w:tcPr>
            <w:tcW w:type="dxa" w:w="16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sum()</w:t>
            </w:r>
          </w:p>
        </w:tc>
        <w:tc>
          <w:tcPr>
            <w:tcW w:type="dxa" w:w="49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Total kg CO₂ across all parts and orders for this vendor</w:t>
            </w:r>
          </w:p>
        </w:tc>
      </w:tr>
      <w:tr>
        <w:tc>
          <w:tcPr>
            <w:tcW w:type="dxa" w:w="28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co2_emissions_mean</w:t>
            </w:r>
          </w:p>
        </w:tc>
        <w:tc>
          <w:tcPr>
            <w:tcW w:type="dxa" w:w="16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mean()</w:t>
            </w:r>
          </w:p>
        </w:tc>
        <w:tc>
          <w:tcPr>
            <w:tcW w:type="dxa" w:w="496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Average kg CO₂ per order row</w:t>
            </w:r>
          </w:p>
        </w:tc>
      </w:tr>
      <w:tr>
        <w:tc>
          <w:tcPr>
            <w:tcW w:type="dxa" w:w="28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total_cost_total</w:t>
            </w:r>
          </w:p>
        </w:tc>
        <w:tc>
          <w:tcPr>
            <w:tcW w:type="dxa" w:w="16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sum()</w:t>
            </w:r>
          </w:p>
        </w:tc>
        <w:tc>
          <w:tcPr>
            <w:tcW w:type="dxa" w:w="49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Total USD cost across all parts for this vendor</w:t>
            </w:r>
          </w:p>
        </w:tc>
      </w:tr>
      <w:tr>
        <w:tc>
          <w:tcPr>
            <w:tcW w:type="dxa" w:w="28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total_cost_mean</w:t>
            </w:r>
          </w:p>
        </w:tc>
        <w:tc>
          <w:tcPr>
            <w:tcW w:type="dxa" w:w="16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mean()</w:t>
            </w:r>
          </w:p>
        </w:tc>
        <w:tc>
          <w:tcPr>
            <w:tcW w:type="dxa" w:w="496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Average USD cost per order row</w:t>
            </w:r>
          </w:p>
        </w:tc>
      </w:tr>
      <w:tr>
        <w:tc>
          <w:tcPr>
            <w:tcW w:type="dxa" w:w="28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purchase/shipping/intransit totals</w:t>
            </w:r>
          </w:p>
        </w:tc>
        <w:tc>
          <w:tcPr>
            <w:tcW w:type="dxa" w:w="16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sum()</w:t>
            </w:r>
          </w:p>
        </w:tc>
        <w:tc>
          <w:tcPr>
            <w:tcW w:type="dxa" w:w="49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Individual cost component totals for stacked bar chart</w:t>
            </w:r>
          </w:p>
        </w:tc>
      </w:tr>
      <w:tr>
        <w:tc>
          <w:tcPr>
            <w:tcW w:type="dxa" w:w="28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lead_time_days</w:t>
            </w:r>
          </w:p>
        </w:tc>
        <w:tc>
          <w:tcPr>
            <w:tcW w:type="dxa" w:w="16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mean()</w:t>
            </w:r>
          </w:p>
        </w:tc>
        <w:tc>
          <w:tcPr>
            <w:tcW w:type="dxa" w:w="496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Mean lead time in days — used in simulation</w:t>
            </w:r>
          </w:p>
        </w:tc>
      </w:tr>
      <w:tr>
        <w:tc>
          <w:tcPr>
            <w:tcW w:type="dxa" w:w="28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lead_time_std</w:t>
            </w:r>
          </w:p>
        </w:tc>
        <w:tc>
          <w:tcPr>
            <w:tcW w:type="dxa" w:w="16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std()</w:t>
            </w:r>
          </w:p>
        </w:tc>
        <w:tc>
          <w:tcPr>
            <w:tcW w:type="dxa" w:w="49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Standard deviation of lead time — governs simulation variability</w:t>
            </w:r>
          </w:p>
        </w:tc>
      </w:tr>
      <w:tr>
        <w:tc>
          <w:tcPr>
            <w:tcW w:type="dxa" w:w="28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moq_impact_mean</w:t>
            </w:r>
          </w:p>
        </w:tc>
        <w:tc>
          <w:tcPr>
            <w:tcW w:type="dxa" w:w="16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mean()</w:t>
            </w:r>
          </w:p>
        </w:tc>
        <w:tc>
          <w:tcPr>
            <w:tcW w:type="dxa" w:w="496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Average MOQ/Qty ratio across all parts supplied by this vendor</w:t>
            </w:r>
          </w:p>
        </w:tc>
      </w:tr>
      <w:tr>
        <w:tc>
          <w:tcPr>
            <w:tcW w:type="dxa" w:w="28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on_time_rate</w:t>
            </w:r>
          </w:p>
        </w:tc>
        <w:tc>
          <w:tcPr>
            <w:tcW w:type="dxa" w:w="16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mean()</w:t>
            </w:r>
          </w:p>
        </w:tc>
        <w:tc>
          <w:tcPr>
            <w:tcW w:type="dxa" w:w="49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Fraction of rows where order could arrive on time</w:t>
            </w:r>
          </w:p>
        </w:tc>
      </w:tr>
      <w:tr>
        <w:tc>
          <w:tcPr>
            <w:tcW w:type="dxa" w:w="28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carrying_cost</w:t>
            </w:r>
          </w:p>
        </w:tc>
        <w:tc>
          <w:tcPr>
            <w:tcW w:type="dxa" w:w="16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mean()</w:t>
            </w:r>
          </w:p>
        </w:tc>
        <w:tc>
          <w:tcPr>
            <w:tcW w:type="dxa" w:w="496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Average carrying cost per unit per month from Excel column</w:t>
            </w:r>
          </w:p>
        </w:tc>
      </w:tr>
      <w:tr>
        <w:tc>
          <w:tcPr>
            <w:tcW w:type="dxa" w:w="28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penalty_cost_day</w:t>
            </w:r>
          </w:p>
        </w:tc>
        <w:tc>
          <w:tcPr>
            <w:tcW w:type="dxa" w:w="16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mean()</w:t>
            </w:r>
          </w:p>
        </w:tc>
        <w:tc>
          <w:tcPr>
            <w:tcW w:type="dxa" w:w="49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Average daily penalty rate (USD/day) for late delivery</w:t>
            </w:r>
          </w:p>
        </w:tc>
      </w:tr>
      <w:tr>
        <w:tc>
          <w:tcPr>
            <w:tcW w:type="dxa" w:w="28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social_labor_score</w:t>
            </w:r>
          </w:p>
        </w:tc>
        <w:tc>
          <w:tcPr>
            <w:tcW w:type="dxa" w:w="16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mean()</w:t>
            </w:r>
          </w:p>
        </w:tc>
        <w:tc>
          <w:tcPr>
            <w:tcW w:type="dxa" w:w="496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Mean labor rights score across all rows for this vendor</w:t>
            </w:r>
          </w:p>
        </w:tc>
      </w:tr>
      <w:tr>
        <w:tc>
          <w:tcPr>
            <w:tcW w:type="dxa" w:w="28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social_safety_trir</w:t>
            </w:r>
          </w:p>
        </w:tc>
        <w:tc>
          <w:tcPr>
            <w:tcW w:type="dxa" w:w="16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mean()</w:t>
            </w:r>
          </w:p>
        </w:tc>
        <w:tc>
          <w:tcPr>
            <w:tcW w:type="dxa" w:w="49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Mean Total Recordable Incident Rate</w:t>
            </w:r>
          </w:p>
        </w:tc>
      </w:tr>
      <w:tr>
        <w:tc>
          <w:tcPr>
            <w:tcW w:type="dxa" w:w="28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social_community_score</w:t>
            </w:r>
          </w:p>
        </w:tc>
        <w:tc>
          <w:tcPr>
            <w:tcW w:type="dxa" w:w="16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mean()</w:t>
            </w:r>
          </w:p>
        </w:tc>
        <w:tc>
          <w:tcPr>
            <w:tcW w:type="dxa" w:w="496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Mean community and diversity score</w:t>
            </w:r>
          </w:p>
        </w:tc>
      </w:tr>
      <w:tr>
        <w:tc>
          <w:tcPr>
            <w:tcW w:type="dxa" w:w="28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social_transparency</w:t>
            </w:r>
          </w:p>
        </w:tc>
        <w:tc>
          <w:tcPr>
            <w:tcW w:type="dxa" w:w="16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mean()</w:t>
            </w:r>
          </w:p>
        </w:tc>
        <w:tc>
          <w:tcPr>
            <w:tcW w:type="dxa" w:w="49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Mean supply chain transparency index</w:t>
            </w:r>
          </w:p>
        </w:tc>
      </w:tr>
    </w:tbl>
    <w:p>
      <w:pPr>
        <w:spacing w:after="40" w:before="40"/>
      </w:pPr>
      <w:r>
        <w:t xml:space="preserve"/>
      </w:r>
    </w:p>
    <w:p>
      <w:pPr>
        <w:spacing w:after="80" w:before="80"/>
        <w:jc w:val="left"/>
      </w:pPr>
      <w:r>
        <w:rPr>
          <w:rFonts w:ascii="Arial" w:cs="Arial" w:eastAsia="Arial" w:hAnsi="Arial"/>
          <w:b w:val="false"/>
          <w:bCs w:val="false"/>
          <w:i w:val="false"/>
          <w:iCs w:val="false"/>
          <w:color w:val="000000"/>
          <w:sz w:val="22"/>
          <w:szCs w:val="22"/>
        </w:rPr>
        <w:t xml:space="preserve">After aggregation, each vendor receives an ID (V1, V2, …) assigned in alphabetical order of vendor name. A binary is_domestic flag is set to True for all vendors whose name does not appear in the non-domestic set {"Global EuroParts"}.</w:t>
      </w:r>
    </w:p>
    <w:p>
      <w:r>
        <w:br w:type="page"/>
      </w:r>
    </w:p>
    <w:p>
      <w:pPr>
        <w:pStyle w:val="Heading1"/>
        <w:pBdr>
          <w:bottom w:val="single" w:color="1B3A6B" w:sz="8" w:space="4"/>
        </w:pBdr>
        <w:spacing w:after="160" w:before="400"/>
      </w:pPr>
      <w:r>
        <w:rPr>
          <w:rFonts w:ascii="Arial" w:cs="Arial" w:eastAsia="Arial" w:hAnsi="Arial"/>
          <w:b/>
          <w:bCs/>
          <w:color w:val="1B3A6B"/>
          <w:sz w:val="36"/>
          <w:szCs w:val="36"/>
        </w:rPr>
        <w:t xml:space="preserve">5.  Normalization Method</w:t>
      </w:r>
    </w:p>
    <w:p>
      <w:pPr>
        <w:spacing w:after="80" w:before="80"/>
        <w:jc w:val="left"/>
      </w:pPr>
      <w:r>
        <w:rPr>
          <w:rFonts w:ascii="Arial" w:cs="Arial" w:eastAsia="Arial" w:hAnsi="Arial"/>
          <w:b w:val="false"/>
          <w:bCs w:val="false"/>
          <w:i w:val="false"/>
          <w:iCs w:val="false"/>
          <w:color w:val="000000"/>
          <w:sz w:val="22"/>
          <w:szCs w:val="22"/>
        </w:rPr>
        <w:t xml:space="preserve">Before weighting and combining KPIs, all raw values must be converted to a common 0–100 scale. The system uses min-max normalization, applied separately to each KPI column across the current vendor set.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D7A6B" w:sz="8"/>
              <w:left w:val="single" w:color="1D7A6B" w:sz="12"/>
              <w:bottom w:val="single" w:color="1D7A6B" w:sz="4"/>
              <w:right w:val="none" w:color="FFFFFF" w:sz="0"/>
            </w:tcBorders>
            <w:shd w:fill="E6F4F1" w:val="clear"/>
            <w:tcMar>
              <w:top w:type="dxa" w:w="100"/>
              <w:left w:type="dxa" w:w="180"/>
              <w:bottom w:type="dxa" w:w="100"/>
              <w:right w:type="dxa" w:w="180"/>
            </w:tcMar>
          </w:tcPr>
          <w:p>
            <w:pPr>
              <w:spacing w:after="0" w:before="0"/>
            </w:pPr>
            <w:r>
              <w:rPr>
                <w:rFonts w:ascii="Arial" w:cs="Arial" w:eastAsia="Arial" w:hAnsi="Arial"/>
                <w:b/>
                <w:bCs/>
                <w:color w:val="1D7A6B"/>
                <w:sz w:val="20"/>
                <w:szCs w:val="20"/>
              </w:rPr>
              <w:t xml:space="preserve">Standard (higher = better):  </w:t>
            </w:r>
            <w:r>
              <w:rPr>
                <w:rFonts w:ascii="Courier New" w:cs="Courier New" w:eastAsia="Courier New" w:hAnsi="Courier New"/>
                <w:color w:val="1B3A6B"/>
                <w:sz w:val="20"/>
                <w:szCs w:val="20"/>
              </w:rPr>
              <w:t xml:space="preserve">score = (x − min) ÷ (max − min) × 100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D7A6B" w:sz="8"/>
              <w:left w:val="single" w:color="1D7A6B" w:sz="12"/>
              <w:bottom w:val="single" w:color="1D7A6B" w:sz="4"/>
              <w:right w:val="none" w:color="FFFFFF" w:sz="0"/>
            </w:tcBorders>
            <w:shd w:fill="E6F4F1" w:val="clear"/>
            <w:tcMar>
              <w:top w:type="dxa" w:w="100"/>
              <w:left w:type="dxa" w:w="180"/>
              <w:bottom w:type="dxa" w:w="100"/>
              <w:right w:type="dxa" w:w="180"/>
            </w:tcMar>
          </w:tcPr>
          <w:p>
            <w:pPr>
              <w:spacing w:after="0" w:before="0"/>
            </w:pPr>
            <w:r>
              <w:rPr>
                <w:rFonts w:ascii="Arial" w:cs="Arial" w:eastAsia="Arial" w:hAnsi="Arial"/>
                <w:b/>
                <w:bCs/>
                <w:color w:val="1D7A6B"/>
                <w:sz w:val="20"/>
                <w:szCs w:val="20"/>
              </w:rPr>
              <w:t xml:space="preserve">Inverted (lower = better):  </w:t>
            </w:r>
            <w:r>
              <w:rPr>
                <w:rFonts w:ascii="Courier New" w:cs="Courier New" w:eastAsia="Courier New" w:hAnsi="Courier New"/>
                <w:color w:val="1B3A6B"/>
                <w:sz w:val="20"/>
                <w:szCs w:val="20"/>
              </w:rPr>
              <w:t xml:space="preserve">score = 100 − [(x − min) ÷ (max − min) × 100]</w:t>
            </w:r>
          </w:p>
        </w:tc>
      </w:tr>
    </w:tbl>
    <w:p>
      <w:pPr>
        <w:spacing w:after="40" w:before="40"/>
      </w:pPr>
      <w:r>
        <w:t xml:space="preserve"/>
      </w:r>
    </w:p>
    <w:p>
      <w:pPr>
        <w:spacing w:after="80" w:before="80"/>
        <w:jc w:val="left"/>
      </w:pPr>
      <w:r>
        <w:rPr>
          <w:rFonts w:ascii="Arial" w:cs="Arial" w:eastAsia="Arial" w:hAnsi="Arial"/>
          <w:b w:val="false"/>
          <w:bCs w:val="false"/>
          <w:i w:val="false"/>
          <w:iCs w:val="false"/>
          <w:color w:val="000000"/>
          <w:sz w:val="22"/>
          <w:szCs w:val="22"/>
        </w:rPr>
        <w:t xml:space="preserve">Edge case — all vendors equal: if max = min (all vendors have identical values), every vendor receives a score of 50.0 to avoid division by zero and to reflect that no vendor has a meaningful advantage.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w:t>
            </w:r>
          </w:p>
        </w:tc>
        <w:tc>
          <w:tcPr>
            <w:tcW w:type="dxa" w:w="22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Direction</w:t>
            </w:r>
          </w:p>
        </w:tc>
        <w:tc>
          <w:tcPr>
            <w:tcW w:type="dxa" w:w="41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r>
      <w:tr>
        <w:tc>
          <w:tcPr>
            <w:tcW w:type="dxa" w:w="30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CO₂ emissions total</w:t>
            </w:r>
          </w:p>
        </w:tc>
        <w:tc>
          <w:tcPr>
            <w:tcW w:type="dxa" w:w="22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Inverted (lower = better)</w:t>
            </w:r>
          </w:p>
        </w:tc>
        <w:tc>
          <w:tcPr>
            <w:tcW w:type="dxa" w:w="41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Lower emissions = more sustainable</w:t>
            </w:r>
          </w:p>
        </w:tc>
      </w:tr>
      <w:tr>
        <w:tc>
          <w:tcPr>
            <w:tcW w:type="dxa" w:w="30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Total cost total</w:t>
            </w:r>
          </w:p>
        </w:tc>
        <w:tc>
          <w:tcPr>
            <w:tcW w:type="dxa" w:w="22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Inverted (lower = better)</w:t>
            </w:r>
          </w:p>
        </w:tc>
        <w:tc>
          <w:tcPr>
            <w:tcW w:type="dxa" w:w="416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Lower cost = economically better</w:t>
            </w:r>
          </w:p>
        </w:tc>
      </w:tr>
      <w:tr>
        <w:tc>
          <w:tcPr>
            <w:tcW w:type="dxa" w:w="30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MOQ impact mean</w:t>
            </w:r>
          </w:p>
        </w:tc>
        <w:tc>
          <w:tcPr>
            <w:tcW w:type="dxa" w:w="22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Inverted (lower = better)</w:t>
            </w:r>
          </w:p>
        </w:tc>
        <w:tc>
          <w:tcPr>
            <w:tcW w:type="dxa" w:w="41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Lower ratio = less forced over-ordering</w:t>
            </w:r>
          </w:p>
        </w:tc>
      </w:tr>
      <w:tr>
        <w:tc>
          <w:tcPr>
            <w:tcW w:type="dxa" w:w="30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Carrying cost</w:t>
            </w:r>
          </w:p>
        </w:tc>
        <w:tc>
          <w:tcPr>
            <w:tcW w:type="dxa" w:w="22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Inverted (lower = better)</w:t>
            </w:r>
          </w:p>
        </w:tc>
        <w:tc>
          <w:tcPr>
            <w:tcW w:type="dxa" w:w="416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Lower holding cost = less economic burden</w:t>
            </w:r>
          </w:p>
        </w:tc>
      </w:tr>
      <w:tr>
        <w:tc>
          <w:tcPr>
            <w:tcW w:type="dxa" w:w="30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Penalty cost / sim penalty</w:t>
            </w:r>
          </w:p>
        </w:tc>
        <w:tc>
          <w:tcPr>
            <w:tcW w:type="dxa" w:w="22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Inverted (lower = better)</w:t>
            </w:r>
          </w:p>
        </w:tc>
        <w:tc>
          <w:tcPr>
            <w:tcW w:type="dxa" w:w="41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Lower penalty exposure = better reliability</w:t>
            </w:r>
          </w:p>
        </w:tc>
      </w:tr>
      <w:tr>
        <w:tc>
          <w:tcPr>
            <w:tcW w:type="dxa" w:w="30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On-time rate</w:t>
            </w:r>
          </w:p>
        </w:tc>
        <w:tc>
          <w:tcPr>
            <w:tcW w:type="dxa" w:w="22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Standard (higher = better)</w:t>
            </w:r>
          </w:p>
        </w:tc>
        <w:tc>
          <w:tcPr>
            <w:tcW w:type="dxa" w:w="416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Higher reliability = better</w:t>
            </w:r>
          </w:p>
        </w:tc>
      </w:tr>
      <w:tr>
        <w:tc>
          <w:tcPr>
            <w:tcW w:type="dxa" w:w="30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Social labor score</w:t>
            </w:r>
          </w:p>
        </w:tc>
        <w:tc>
          <w:tcPr>
            <w:tcW w:type="dxa" w:w="22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Standard (higher = better)</w:t>
            </w:r>
          </w:p>
        </w:tc>
        <w:tc>
          <w:tcPr>
            <w:tcW w:type="dxa" w:w="41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Higher score = stronger labor rights</w:t>
            </w:r>
          </w:p>
        </w:tc>
      </w:tr>
      <w:tr>
        <w:tc>
          <w:tcPr>
            <w:tcW w:type="dxa" w:w="30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Social safety TRIR</w:t>
            </w:r>
          </w:p>
        </w:tc>
        <w:tc>
          <w:tcPr>
            <w:tcW w:type="dxa" w:w="22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Inverted (lower = better)</w:t>
            </w:r>
          </w:p>
        </w:tc>
        <w:tc>
          <w:tcPr>
            <w:tcW w:type="dxa" w:w="416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Fewer incidents = safer workplace</w:t>
            </w:r>
          </w:p>
        </w:tc>
      </w:tr>
      <w:tr>
        <w:tc>
          <w:tcPr>
            <w:tcW w:type="dxa" w:w="30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Social community score</w:t>
            </w:r>
          </w:p>
        </w:tc>
        <w:tc>
          <w:tcPr>
            <w:tcW w:type="dxa" w:w="22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Standard (higher = better)</w:t>
            </w:r>
          </w:p>
        </w:tc>
        <w:tc>
          <w:tcPr>
            <w:tcW w:type="dxa" w:w="41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Higher score = better community impact</w:t>
            </w:r>
          </w:p>
        </w:tc>
      </w:tr>
      <w:tr>
        <w:tc>
          <w:tcPr>
            <w:tcW w:type="dxa" w:w="30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Social transparency</w:t>
            </w:r>
          </w:p>
        </w:tc>
        <w:tc>
          <w:tcPr>
            <w:tcW w:type="dxa" w:w="22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Standard (higher = better)</w:t>
            </w:r>
          </w:p>
        </w:tc>
        <w:tc>
          <w:tcPr>
            <w:tcW w:type="dxa" w:w="416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Higher score = more transparent supply chain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6"/>
              <w:left w:val="single" w:color="B45309" w:sz="20"/>
              <w:bottom w:val="single" w:color="B45309" w:sz="6"/>
              <w:right w:val="none" w:color="FFFFFF" w:sz="0"/>
            </w:tcBorders>
            <w:shd w:fill="FEF9EC" w:val="clear"/>
            <w:tcMar>
              <w:top w:type="dxa" w:w="100"/>
              <w:left w:type="dxa" w:w="200"/>
              <w:bottom w:type="dxa" w:w="100"/>
              <w:right w:type="dxa" w:w="180"/>
            </w:tcMar>
          </w:tcPr>
          <w:p>
            <w:pPr>
              <w:spacing w:after="60" w:before="0"/>
            </w:pPr>
            <w:r>
              <w:rPr>
                <w:rFonts w:ascii="Arial" w:cs="Arial" w:eastAsia="Arial" w:hAnsi="Arial"/>
                <w:b/>
                <w:bCs/>
                <w:color w:val="B45309"/>
                <w:sz w:val="22"/>
                <w:szCs w:val="22"/>
              </w:rPr>
              <w:t xml:space="preserve">Important: Scores are relative, not absolute</w:t>
            </w:r>
          </w:p>
          <w:p>
            <w:pPr>
              <w:spacing w:after="0" w:before="0"/>
            </w:pPr>
            <w:r>
              <w:rPr>
                <w:rFonts w:ascii="Arial" w:cs="Arial" w:eastAsia="Arial" w:hAnsi="Arial"/>
                <w:color w:val="000000"/>
                <w:sz w:val="21"/>
                <w:szCs w:val="21"/>
              </w:rPr>
              <w:t xml:space="preserve">A vendor with a score of 90 is not 90% sustainable in any absolute sense. It means that vendor performs close to the best in this specific 10-vendor set on that KPI. If all vendors have poor environmental performance, the top scorer will still receive ~100. Score gaps should be interpreted as relative rankings, not absolute measurements.</w:t>
            </w:r>
          </w:p>
        </w:tc>
      </w:tr>
    </w:tbl>
    <w:p>
      <w:r>
        <w:br w:type="page"/>
      </w:r>
    </w:p>
    <w:p>
      <w:pPr>
        <w:pStyle w:val="Heading1"/>
        <w:pBdr>
          <w:bottom w:val="single" w:color="1B3A6B" w:sz="8" w:space="4"/>
        </w:pBdr>
        <w:spacing w:after="160" w:before="400"/>
      </w:pPr>
      <w:r>
        <w:rPr>
          <w:rFonts w:ascii="Arial" w:cs="Arial" w:eastAsia="Arial" w:hAnsi="Arial"/>
          <w:b/>
          <w:bCs/>
          <w:color w:val="1B3A6B"/>
          <w:sz w:val="36"/>
          <w:szCs w:val="36"/>
        </w:rPr>
        <w:t xml:space="preserve">6.  Scorecard Pillar Calculations</w:t>
      </w:r>
    </w:p>
    <w:p>
      <w:pPr>
        <w:spacing w:after="80" w:before="80"/>
        <w:jc w:val="left"/>
      </w:pPr>
      <w:r>
        <w:rPr>
          <w:rFonts w:ascii="Arial" w:cs="Arial" w:eastAsia="Arial" w:hAnsi="Arial"/>
          <w:b w:val="false"/>
          <w:bCs w:val="false"/>
          <w:i w:val="false"/>
          <w:iCs w:val="false"/>
          <w:color w:val="000000"/>
          <w:sz w:val="22"/>
          <w:szCs w:val="22"/>
        </w:rPr>
        <w:t xml:space="preserve">The composite score is built from three pillars. Each pillar is computed as a weighted sum of normalized KPI scores. The composite is then a weighted sum of the three pillar scores.</w:t>
      </w:r>
    </w:p>
    <w:p>
      <w:pPr>
        <w:spacing w:after="40" w:before="40"/>
      </w:pPr>
      <w:r>
        <w:t xml:space="preserve"/>
      </w:r>
    </w:p>
    <w:p>
      <w:pPr>
        <w:pStyle w:val="Heading2"/>
        <w:spacing w:after="120" w:before="320"/>
      </w:pPr>
      <w:r>
        <w:rPr>
          <w:rFonts w:ascii="Arial" w:cs="Arial" w:eastAsia="Arial" w:hAnsi="Arial"/>
          <w:b/>
          <w:bCs/>
          <w:color w:val="1D7A6B"/>
          <w:sz w:val="28"/>
          <w:szCs w:val="28"/>
        </w:rPr>
        <w:t xml:space="preserve">6.1  Environmental Pillar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D7A6B" w:sz="8"/>
              <w:left w:val="single" w:color="1D7A6B" w:sz="12"/>
              <w:bottom w:val="single" w:color="1D7A6B" w:sz="4"/>
              <w:right w:val="none" w:color="FFFFFF" w:sz="0"/>
            </w:tcBorders>
            <w:shd w:fill="E6F4F1" w:val="clear"/>
            <w:tcMar>
              <w:top w:type="dxa" w:w="100"/>
              <w:left w:type="dxa" w:w="180"/>
              <w:bottom w:type="dxa" w:w="100"/>
              <w:right w:type="dxa" w:w="180"/>
            </w:tcMar>
          </w:tcPr>
          <w:p>
            <w:pPr>
              <w:spacing w:after="0" w:before="0"/>
            </w:pPr>
            <w:r>
              <w:rPr>
                <w:rFonts w:ascii="Arial" w:cs="Arial" w:eastAsia="Arial" w:hAnsi="Arial"/>
                <w:b/>
                <w:bCs/>
                <w:color w:val="1D7A6B"/>
                <w:sz w:val="20"/>
                <w:szCs w:val="20"/>
              </w:rPr>
              <w:t xml:space="preserve">score_env =  </w:t>
            </w:r>
            <w:r>
              <w:rPr>
                <w:rFonts w:ascii="Courier New" w:cs="Courier New" w:eastAsia="Courier New" w:hAnsi="Courier New"/>
                <w:color w:val="1B3A6B"/>
                <w:sz w:val="20"/>
                <w:szCs w:val="20"/>
              </w:rPr>
              <w:t xml:space="preserve">(w_carbon × normalize(co2_total, invert=True))
             + (w_ontime × normalize(on_time_rate))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200"/>
        <w:gridCol w:w="2960"/>
      </w:tblGrid>
      <w:tr>
        <w:trPr>
          <w:tblHeader/>
        </w:trPr>
        <w:tc>
          <w:tcPr>
            <w:tcW w:type="dxa" w:w="18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Sub-weight</w:t>
            </w:r>
          </w:p>
        </w:tc>
        <w:tc>
          <w:tcPr>
            <w:tcW w:type="dxa" w:w="14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Default</w:t>
            </w:r>
          </w:p>
        </w:tc>
        <w:tc>
          <w:tcPr>
            <w:tcW w:type="dxa" w:w="32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w:t>
            </w:r>
          </w:p>
        </w:tc>
        <w:tc>
          <w:tcPr>
            <w:tcW w:type="dxa" w:w="29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Direction</w:t>
            </w:r>
          </w:p>
        </w:tc>
      </w:tr>
      <w:tr>
        <w:tc>
          <w:tcPr>
            <w:tcW w:type="dxa" w:w="18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w_carbon</w:t>
            </w:r>
          </w:p>
        </w:tc>
        <w:tc>
          <w:tcPr>
            <w:tcW w:type="dxa" w:w="14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0.70 (70%)</w:t>
            </w:r>
          </w:p>
        </w:tc>
        <w:tc>
          <w:tcPr>
            <w:tcW w:type="dxa" w:w="32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CO₂ emissions total</w:t>
            </w:r>
          </w:p>
        </w:tc>
        <w:tc>
          <w:tcPr>
            <w:tcW w:type="dxa" w:w="29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Inverted — lower = better</w:t>
            </w:r>
          </w:p>
        </w:tc>
      </w:tr>
      <w:tr>
        <w:tc>
          <w:tcPr>
            <w:tcW w:type="dxa" w:w="18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w_ontime</w:t>
            </w:r>
          </w:p>
        </w:tc>
        <w:tc>
          <w:tcPr>
            <w:tcW w:type="dxa" w:w="14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0.30 (30%)</w:t>
            </w:r>
          </w:p>
        </w:tc>
        <w:tc>
          <w:tcPr>
            <w:tcW w:type="dxa" w:w="32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On-time rate</w:t>
            </w:r>
          </w:p>
        </w:tc>
        <w:tc>
          <w:tcPr>
            <w:tcW w:type="dxa" w:w="296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Standard — higher = better</w:t>
            </w:r>
          </w:p>
        </w:tc>
      </w:tr>
    </w:tbl>
    <w:p>
      <w:pPr>
        <w:spacing w:after="40" w:before="40"/>
      </w:pPr>
      <w:r>
        <w:t xml:space="preserve"/>
      </w:r>
    </w:p>
    <w:p>
      <w:pPr>
        <w:spacing w:after="80" w:before="80"/>
        <w:jc w:val="left"/>
      </w:pPr>
      <w:r>
        <w:rPr>
          <w:rFonts w:ascii="Arial" w:cs="Arial" w:eastAsia="Arial" w:hAnsi="Arial"/>
          <w:b w:val="false"/>
          <w:bCs w:val="false"/>
          <w:i w:val="false"/>
          <w:iCs w:val="false"/>
          <w:color w:val="000000"/>
          <w:sz w:val="22"/>
          <w:szCs w:val="22"/>
        </w:rPr>
        <w:t xml:space="preserve">Sub-weight constraint: w_carbon + w_ontime = 1.00. These are hard-coded defaults; the dashboard does not currently expose sliders for environmental sub-weights.</w:t>
      </w:r>
    </w:p>
    <w:p>
      <w:pPr>
        <w:spacing w:after="40" w:before="40"/>
      </w:pPr>
      <w:r>
        <w:t xml:space="preserve"/>
      </w:r>
    </w:p>
    <w:p>
      <w:pPr>
        <w:pStyle w:val="Heading2"/>
        <w:spacing w:after="120" w:before="320"/>
      </w:pPr>
      <w:r>
        <w:rPr>
          <w:rFonts w:ascii="Arial" w:cs="Arial" w:eastAsia="Arial" w:hAnsi="Arial"/>
          <w:b/>
          <w:bCs/>
          <w:color w:val="1D7A6B"/>
          <w:sz w:val="28"/>
          <w:szCs w:val="28"/>
        </w:rPr>
        <w:t xml:space="preserve">6.2  Economic Pillar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D7A6B" w:sz="8"/>
              <w:left w:val="single" w:color="1D7A6B" w:sz="12"/>
              <w:bottom w:val="single" w:color="1D7A6B" w:sz="4"/>
              <w:right w:val="none" w:color="FFFFFF" w:sz="0"/>
            </w:tcBorders>
            <w:shd w:fill="E6F4F1" w:val="clear"/>
            <w:tcMar>
              <w:top w:type="dxa" w:w="100"/>
              <w:left w:type="dxa" w:w="180"/>
              <w:bottom w:type="dxa" w:w="100"/>
              <w:right w:type="dxa" w:w="180"/>
            </w:tcMar>
          </w:tcPr>
          <w:p>
            <w:pPr>
              <w:spacing w:after="0" w:before="0"/>
            </w:pPr>
            <w:r>
              <w:rPr>
                <w:rFonts w:ascii="Arial" w:cs="Arial" w:eastAsia="Arial" w:hAnsi="Arial"/>
                <w:b/>
                <w:bCs/>
                <w:color w:val="1D7A6B"/>
                <w:sz w:val="20"/>
                <w:szCs w:val="20"/>
              </w:rPr>
              <w:t xml:space="preserve">score_econ =  </w:t>
            </w:r>
            <w:r>
              <w:rPr>
                <w:rFonts w:ascii="Courier New" w:cs="Courier New" w:eastAsia="Courier New" w:hAnsi="Courier New"/>
                <w:color w:val="1B3A6B"/>
                <w:sz w:val="20"/>
                <w:szCs w:val="20"/>
              </w:rPr>
              <w:t xml:space="preserve">(0.45 × normalize(total_cost,  invert=True))
             + (0.20 × normalize(moq_impact, invert=True))
             + (0.20 × normalize(carrying_cost, invert=True))
             + (0.15 × normalize(penalty, invert=True))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600"/>
        <w:gridCol w:w="3560"/>
      </w:tblGrid>
      <w:tr>
        <w:trPr>
          <w:tblHeader/>
        </w:trPr>
        <w:tc>
          <w:tcPr>
            <w:tcW w:type="dxa" w:w="18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Sub-weight</w:t>
            </w:r>
          </w:p>
        </w:tc>
        <w:tc>
          <w:tcPr>
            <w:tcW w:type="dxa" w:w="14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Default</w:t>
            </w:r>
          </w:p>
        </w:tc>
        <w:tc>
          <w:tcPr>
            <w:tcW w:type="dxa" w:w="26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w:t>
            </w:r>
          </w:p>
        </w:tc>
        <w:tc>
          <w:tcPr>
            <w:tcW w:type="dxa" w:w="35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r>
      <w:tr>
        <w:tc>
          <w:tcPr>
            <w:tcW w:type="dxa" w:w="18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w_totalcost</w:t>
            </w:r>
          </w:p>
        </w:tc>
        <w:tc>
          <w:tcPr>
            <w:tcW w:type="dxa" w:w="14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0.45 (45%)</w:t>
            </w:r>
          </w:p>
        </w:tc>
        <w:tc>
          <w:tcPr>
            <w:tcW w:type="dxa" w:w="26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Total procurement cost</w:t>
            </w:r>
          </w:p>
        </w:tc>
        <w:tc>
          <w:tcPr>
            <w:tcW w:type="dxa" w:w="35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Aggregated from KPI 2</w:t>
            </w:r>
          </w:p>
        </w:tc>
      </w:tr>
      <w:tr>
        <w:tc>
          <w:tcPr>
            <w:tcW w:type="dxa" w:w="18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w_moq_impact</w:t>
            </w:r>
          </w:p>
        </w:tc>
        <w:tc>
          <w:tcPr>
            <w:tcW w:type="dxa" w:w="14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0.20 (20%)</w:t>
            </w:r>
          </w:p>
        </w:tc>
        <w:tc>
          <w:tcPr>
            <w:tcW w:type="dxa" w:w="26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MOQ impact ratio</w:t>
            </w:r>
          </w:p>
        </w:tc>
        <w:tc>
          <w:tcPr>
            <w:tcW w:type="dxa" w:w="356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Aggregated from KPI 4</w:t>
            </w:r>
          </w:p>
        </w:tc>
      </w:tr>
      <w:tr>
        <w:tc>
          <w:tcPr>
            <w:tcW w:type="dxa" w:w="18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w_carrying</w:t>
            </w:r>
          </w:p>
        </w:tc>
        <w:tc>
          <w:tcPr>
            <w:tcW w:type="dxa" w:w="14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0.20 (20%)</w:t>
            </w:r>
          </w:p>
        </w:tc>
        <w:tc>
          <w:tcPr>
            <w:tcW w:type="dxa" w:w="26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Carrying cost per unit/month</w:t>
            </w:r>
          </w:p>
        </w:tc>
        <w:tc>
          <w:tcPr>
            <w:tcW w:type="dxa" w:w="35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Direct Excel column, averaged per vendor</w:t>
            </w:r>
          </w:p>
        </w:tc>
      </w:tr>
      <w:tr>
        <w:tc>
          <w:tcPr>
            <w:tcW w:type="dxa" w:w="18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w_penalty</w:t>
            </w:r>
          </w:p>
        </w:tc>
        <w:tc>
          <w:tcPr>
            <w:tcW w:type="dxa" w:w="14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0.15 (15%)</w:t>
            </w:r>
          </w:p>
        </w:tc>
        <w:tc>
          <w:tcPr>
            <w:tcW w:type="dxa" w:w="26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Penalty cost</w:t>
            </w:r>
          </w:p>
        </w:tc>
        <w:tc>
          <w:tcPr>
            <w:tcW w:type="dxa" w:w="356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Monte Carlo average penalty if simulation ran; otherwise static penalty_cost_day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7A6B" w:sz="6"/>
              <w:left w:val="single" w:color="1D7A6B" w:sz="20"/>
              <w:bottom w:val="single" w:color="1D7A6B" w:sz="6"/>
              <w:right w:val="none" w:color="FFFFFF" w:sz="0"/>
            </w:tcBorders>
            <w:shd w:fill="E6F4F1" w:val="clear"/>
            <w:tcMar>
              <w:top w:type="dxa" w:w="100"/>
              <w:left w:type="dxa" w:w="200"/>
              <w:bottom w:type="dxa" w:w="100"/>
              <w:right w:type="dxa" w:w="180"/>
            </w:tcMar>
          </w:tcPr>
          <w:p>
            <w:pPr>
              <w:spacing w:after="60" w:before="0"/>
            </w:pPr>
            <w:r>
              <w:rPr>
                <w:rFonts w:ascii="Arial" w:cs="Arial" w:eastAsia="Arial" w:hAnsi="Arial"/>
                <w:b/>
                <w:bCs/>
                <w:color w:val="1D7A6B"/>
                <w:sz w:val="22"/>
                <w:szCs w:val="22"/>
              </w:rPr>
              <w:t xml:space="preserve">Monte Carlo penalty integration</w:t>
            </w:r>
          </w:p>
          <w:p>
            <w:pPr>
              <w:spacing w:after="0" w:before="0"/>
            </w:pPr>
            <w:r>
              <w:rPr>
                <w:rFonts w:ascii="Arial" w:cs="Arial" w:eastAsia="Arial" w:hAnsi="Arial"/>
                <w:color w:val="000000"/>
                <w:sz w:val="21"/>
                <w:szCs w:val="21"/>
              </w:rPr>
              <w:t xml:space="preserve">When the dashboard runs a simulation scenario, it passes sim_penalty_by_vendor into score_vendors(). This replaces the static penalty_cost_day value with the average simulated penalty computed across 500 Monte Carlo runs. This is the key mechanism that makes Economic scores respond to scenario changes: a vendor with high lead-time variability accumulates more simulated penalty, which suppresses its Economic score.</w:t>
            </w:r>
          </w:p>
        </w:tc>
      </w:tr>
    </w:tbl>
    <w:p>
      <w:pPr>
        <w:spacing w:after="40" w:before="40"/>
      </w:pPr>
      <w:r>
        <w:t xml:space="preserve"/>
      </w:r>
    </w:p>
    <w:p>
      <w:pPr>
        <w:pStyle w:val="Heading2"/>
        <w:spacing w:after="120" w:before="320"/>
      </w:pPr>
      <w:r>
        <w:rPr>
          <w:rFonts w:ascii="Arial" w:cs="Arial" w:eastAsia="Arial" w:hAnsi="Arial"/>
          <w:b/>
          <w:bCs/>
          <w:color w:val="1D7A6B"/>
          <w:sz w:val="28"/>
          <w:szCs w:val="28"/>
        </w:rPr>
        <w:t xml:space="preserve">6.3  Social Pillar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D7A6B" w:sz="8"/>
              <w:left w:val="single" w:color="1D7A6B" w:sz="12"/>
              <w:bottom w:val="single" w:color="1D7A6B" w:sz="4"/>
              <w:right w:val="none" w:color="FFFFFF" w:sz="0"/>
            </w:tcBorders>
            <w:shd w:fill="E6F4F1" w:val="clear"/>
            <w:tcMar>
              <w:top w:type="dxa" w:w="100"/>
              <w:left w:type="dxa" w:w="180"/>
              <w:bottom w:type="dxa" w:w="100"/>
              <w:right w:type="dxa" w:w="180"/>
            </w:tcMar>
          </w:tcPr>
          <w:p>
            <w:pPr>
              <w:spacing w:after="0" w:before="0"/>
            </w:pPr>
            <w:r>
              <w:rPr>
                <w:rFonts w:ascii="Arial" w:cs="Arial" w:eastAsia="Arial" w:hAnsi="Arial"/>
                <w:b/>
                <w:bCs/>
                <w:color w:val="1D7A6B"/>
                <w:sz w:val="20"/>
                <w:szCs w:val="20"/>
              </w:rPr>
              <w:t xml:space="preserve">raw_social =  </w:t>
            </w:r>
            <w:r>
              <w:rPr>
                <w:rFonts w:ascii="Courier New" w:cs="Courier New" w:eastAsia="Courier New" w:hAnsi="Courier New"/>
                <w:color w:val="1B3A6B"/>
                <w:sz w:val="20"/>
                <w:szCs w:val="20"/>
              </w:rPr>
              <w:t xml:space="preserve">(0.30 × normalize(labor_score))
             + (0.30 × normalize(safety_trir, invert=True))
             + (0.25 × normalize(community_score))
             + (0.15 × normalize(transparency))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D7A6B" w:sz="8"/>
              <w:left w:val="single" w:color="1D7A6B" w:sz="12"/>
              <w:bottom w:val="single" w:color="1D7A6B" w:sz="4"/>
              <w:right w:val="none" w:color="FFFFFF" w:sz="0"/>
            </w:tcBorders>
            <w:shd w:fill="E6F4F1" w:val="clear"/>
            <w:tcMar>
              <w:top w:type="dxa" w:w="100"/>
              <w:left w:type="dxa" w:w="180"/>
              <w:bottom w:type="dxa" w:w="100"/>
              <w:right w:type="dxa" w:w="180"/>
            </w:tcMar>
          </w:tcPr>
          <w:p>
            <w:pPr>
              <w:spacing w:after="0" w:before="0"/>
            </w:pPr>
            <w:r>
              <w:rPr>
                <w:rFonts w:ascii="Arial" w:cs="Arial" w:eastAsia="Arial" w:hAnsi="Arial"/>
                <w:b/>
                <w:bCs/>
                <w:color w:val="1D7A6B"/>
                <w:sz w:val="20"/>
                <w:szCs w:val="20"/>
              </w:rPr>
              <w:t xml:space="preserve">score_soc =  </w:t>
            </w:r>
            <w:r>
              <w:rPr>
                <w:rFonts w:ascii="Courier New" w:cs="Courier New" w:eastAsia="Courier New" w:hAnsi="Courier New"/>
                <w:color w:val="1B3A6B"/>
                <w:sz w:val="20"/>
                <w:szCs w:val="20"/>
              </w:rPr>
              <w:t xml:space="preserve">clip(raw_social + (is_domestic × 5), maximum = 100)</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800"/>
        <w:gridCol w:w="3360"/>
      </w:tblGrid>
      <w:tr>
        <w:trPr>
          <w:tblHeader/>
        </w:trPr>
        <w:tc>
          <w:tcPr>
            <w:tcW w:type="dxa" w:w="18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Sub-weight</w:t>
            </w:r>
          </w:p>
        </w:tc>
        <w:tc>
          <w:tcPr>
            <w:tcW w:type="dxa" w:w="14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Default</w:t>
            </w:r>
          </w:p>
        </w:tc>
        <w:tc>
          <w:tcPr>
            <w:tcW w:type="dxa" w:w="28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w:t>
            </w:r>
          </w:p>
        </w:tc>
        <w:tc>
          <w:tcPr>
            <w:tcW w:type="dxa" w:w="33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Direction</w:t>
            </w:r>
          </w:p>
        </w:tc>
      </w:tr>
      <w:tr>
        <w:tc>
          <w:tcPr>
            <w:tcW w:type="dxa" w:w="18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w_labor</w:t>
            </w:r>
          </w:p>
        </w:tc>
        <w:tc>
          <w:tcPr>
            <w:tcW w:type="dxa" w:w="14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0.30 (30%)</w:t>
            </w:r>
          </w:p>
        </w:tc>
        <w:tc>
          <w:tcPr>
            <w:tcW w:type="dxa" w:w="28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social_labor_score (0–100)</w:t>
            </w:r>
          </w:p>
        </w:tc>
        <w:tc>
          <w:tcPr>
            <w:tcW w:type="dxa" w:w="33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Standard — higher = better labor rights</w:t>
            </w:r>
          </w:p>
        </w:tc>
      </w:tr>
      <w:tr>
        <w:tc>
          <w:tcPr>
            <w:tcW w:type="dxa" w:w="18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w_safety</w:t>
            </w:r>
          </w:p>
        </w:tc>
        <w:tc>
          <w:tcPr>
            <w:tcW w:type="dxa" w:w="14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0.30 (30%)</w:t>
            </w:r>
          </w:p>
        </w:tc>
        <w:tc>
          <w:tcPr>
            <w:tcW w:type="dxa" w:w="28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social_safety_trir</w:t>
            </w:r>
          </w:p>
        </w:tc>
        <w:tc>
          <w:tcPr>
            <w:tcW w:type="dxa" w:w="336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Inverted — lower incident rate = safer</w:t>
            </w:r>
          </w:p>
        </w:tc>
      </w:tr>
      <w:tr>
        <w:tc>
          <w:tcPr>
            <w:tcW w:type="dxa" w:w="18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w_community</w:t>
            </w:r>
          </w:p>
        </w:tc>
        <w:tc>
          <w:tcPr>
            <w:tcW w:type="dxa" w:w="14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0.25 (25%)</w:t>
            </w:r>
          </w:p>
        </w:tc>
        <w:tc>
          <w:tcPr>
            <w:tcW w:type="dxa" w:w="28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social_community_score (0–100)</w:t>
            </w:r>
          </w:p>
        </w:tc>
        <w:tc>
          <w:tcPr>
            <w:tcW w:type="dxa" w:w="33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Standard — higher = more community benefit</w:t>
            </w:r>
          </w:p>
        </w:tc>
      </w:tr>
      <w:tr>
        <w:tc>
          <w:tcPr>
            <w:tcW w:type="dxa" w:w="18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w_transparency</w:t>
            </w:r>
          </w:p>
        </w:tc>
        <w:tc>
          <w:tcPr>
            <w:tcW w:type="dxa" w:w="14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0.15 (15%)</w:t>
            </w:r>
          </w:p>
        </w:tc>
        <w:tc>
          <w:tcPr>
            <w:tcW w:type="dxa" w:w="28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social_transparency (0–100)</w:t>
            </w:r>
          </w:p>
        </w:tc>
        <w:tc>
          <w:tcPr>
            <w:tcW w:type="dxa" w:w="336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Standard — higher = more transparent</w:t>
            </w:r>
          </w:p>
        </w:tc>
      </w:tr>
    </w:tbl>
    <w:p>
      <w:pPr>
        <w:spacing w:after="40" w:before="40"/>
      </w:pPr>
      <w:r>
        <w:t xml:space="preserve"/>
      </w:r>
    </w:p>
    <w:p>
      <w:pPr>
        <w:spacing w:after="80" w:before="80"/>
        <w:jc w:val="left"/>
      </w:pPr>
      <w:r>
        <w:rPr>
          <w:rFonts w:ascii="Arial" w:cs="Arial" w:eastAsia="Arial" w:hAnsi="Arial"/>
          <w:b w:val="false"/>
          <w:bCs w:val="false"/>
          <w:i w:val="false"/>
          <w:iCs w:val="false"/>
          <w:color w:val="000000"/>
          <w:sz w:val="22"/>
          <w:szCs w:val="22"/>
        </w:rPr>
        <w:t xml:space="preserve">Domestic sourcing bonus: vendors flagged as is_domestic = True receive an additive bonus of +5 points on top of the four-KPI social score, capped at 100. In the current vendor set, all vendors except Global EuroParts are domestic, so this effectively applies a −5 relative adjustment to the non-domestic vendor rather than rewarding the others.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6"/>
              <w:left w:val="single" w:color="B45309" w:sz="20"/>
              <w:bottom w:val="single" w:color="B45309" w:sz="6"/>
              <w:right w:val="none" w:color="FFFFFF" w:sz="0"/>
            </w:tcBorders>
            <w:shd w:fill="FEF9EC" w:val="clear"/>
            <w:tcMar>
              <w:top w:type="dxa" w:w="100"/>
              <w:left w:type="dxa" w:w="200"/>
              <w:bottom w:type="dxa" w:w="100"/>
              <w:right w:type="dxa" w:w="180"/>
            </w:tcMar>
          </w:tcPr>
          <w:p>
            <w:pPr>
              <w:spacing w:after="60" w:before="0"/>
            </w:pPr>
            <w:r>
              <w:rPr>
                <w:rFonts w:ascii="Arial" w:cs="Arial" w:eastAsia="Arial" w:hAnsi="Arial"/>
                <w:b/>
                <w:bCs/>
                <w:color w:val="B45309"/>
                <w:sz w:val="22"/>
                <w:szCs w:val="22"/>
              </w:rPr>
              <w:t xml:space="preserve">Note on social data</w:t>
            </w:r>
          </w:p>
          <w:p>
            <w:pPr>
              <w:spacing w:after="0" w:before="0"/>
            </w:pPr>
            <w:r>
              <w:rPr>
                <w:rFonts w:ascii="Arial" w:cs="Arial" w:eastAsia="Arial" w:hAnsi="Arial"/>
                <w:color w:val="000000"/>
                <w:sz w:val="21"/>
                <w:szCs w:val="21"/>
              </w:rPr>
              <w:t xml:space="preserve">The four social KPI scores in the current dataset were generated using a rule-based synthetic data script with numpy random seeds. They are structured to reflect realistic relative profiles (e.g., global vendors tend to score higher on labor and transparency; local vendors tend to score higher on community). They should be treated as illustrative placeholders until replaced with verified third-party data sources such as OSHA TRIR filings, EcoVadis ratings, or CDP supply chain disclosures.</w:t>
            </w:r>
          </w:p>
        </w:tc>
      </w:tr>
    </w:tbl>
    <w:p>
      <w:pPr>
        <w:spacing w:after="40" w:before="40"/>
      </w:pPr>
      <w:r>
        <w:t xml:space="preserve"/>
      </w:r>
    </w:p>
    <w:p>
      <w:pPr>
        <w:pStyle w:val="Heading2"/>
        <w:spacing w:after="120" w:before="320"/>
      </w:pPr>
      <w:r>
        <w:rPr>
          <w:rFonts w:ascii="Arial" w:cs="Arial" w:eastAsia="Arial" w:hAnsi="Arial"/>
          <w:b/>
          <w:bCs/>
          <w:color w:val="1D7A6B"/>
          <w:sz w:val="28"/>
          <w:szCs w:val="28"/>
        </w:rPr>
        <w:t xml:space="preserve">6.4  Composite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D7A6B" w:sz="8"/>
              <w:left w:val="single" w:color="1D7A6B" w:sz="12"/>
              <w:bottom w:val="single" w:color="1D7A6B" w:sz="4"/>
              <w:right w:val="none" w:color="FFFFFF" w:sz="0"/>
            </w:tcBorders>
            <w:shd w:fill="E6F4F1" w:val="clear"/>
            <w:tcMar>
              <w:top w:type="dxa" w:w="100"/>
              <w:left w:type="dxa" w:w="180"/>
              <w:bottom w:type="dxa" w:w="100"/>
              <w:right w:type="dxa" w:w="180"/>
            </w:tcMar>
          </w:tcPr>
          <w:p>
            <w:pPr>
              <w:spacing w:after="0" w:before="0"/>
            </w:pPr>
            <w:r>
              <w:rPr>
                <w:rFonts w:ascii="Arial" w:cs="Arial" w:eastAsia="Arial" w:hAnsi="Arial"/>
                <w:b/>
                <w:bCs/>
                <w:color w:val="1D7A6B"/>
                <w:sz w:val="20"/>
                <w:szCs w:val="20"/>
              </w:rPr>
              <w:t xml:space="preserve">score_composite =  </w:t>
            </w:r>
            <w:r>
              <w:rPr>
                <w:rFonts w:ascii="Courier New" w:cs="Courier New" w:eastAsia="Courier New" w:hAnsi="Courier New"/>
                <w:color w:val="1B3A6B"/>
                <w:sz w:val="20"/>
                <w:szCs w:val="20"/>
              </w:rPr>
              <w:t xml:space="preserve">(w_env / total) × score_env
                  + (w_econ / total) × score_econ
                  + (w_soc  / total) × score_soc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D7A6B" w:sz="8"/>
              <w:left w:val="single" w:color="1D7A6B" w:sz="12"/>
              <w:bottom w:val="single" w:color="1D7A6B" w:sz="4"/>
              <w:right w:val="none" w:color="FFFFFF" w:sz="0"/>
            </w:tcBorders>
            <w:shd w:fill="E6F4F1" w:val="clear"/>
            <w:tcMar>
              <w:top w:type="dxa" w:w="100"/>
              <w:left w:type="dxa" w:w="180"/>
              <w:bottom w:type="dxa" w:w="100"/>
              <w:right w:type="dxa" w:w="180"/>
            </w:tcMar>
          </w:tcPr>
          <w:p>
            <w:pPr>
              <w:spacing w:after="0" w:before="0"/>
            </w:pPr>
            <w:r>
              <w:rPr>
                <w:rFonts w:ascii="Arial" w:cs="Arial" w:eastAsia="Arial" w:hAnsi="Arial"/>
                <w:b/>
                <w:bCs/>
                <w:color w:val="1D7A6B"/>
                <w:sz w:val="20"/>
                <w:szCs w:val="20"/>
              </w:rPr>
              <w:t xml:space="preserve">where:  </w:t>
            </w:r>
            <w:r>
              <w:rPr>
                <w:rFonts w:ascii="Courier New" w:cs="Courier New" w:eastAsia="Courier New" w:hAnsi="Courier New"/>
                <w:color w:val="1B3A6B"/>
                <w:sz w:val="20"/>
                <w:szCs w:val="20"/>
              </w:rPr>
              <w:t xml:space="preserve">total = (w_env or 0.01) + (w_econ or 0.01) + (w_soc or 0.01)</w:t>
            </w:r>
          </w:p>
        </w:tc>
      </w:tr>
    </w:tbl>
    <w:p>
      <w:pPr>
        <w:spacing w:after="40" w:before="40"/>
      </w:pPr>
      <w:r>
        <w:t xml:space="preserve"/>
      </w:r>
    </w:p>
    <w:p>
      <w:pPr>
        <w:spacing w:after="80" w:before="80"/>
        <w:jc w:val="left"/>
      </w:pPr>
      <w:r>
        <w:rPr>
          <w:rFonts w:ascii="Arial" w:cs="Arial" w:eastAsia="Arial" w:hAnsi="Arial"/>
          <w:b w:val="false"/>
          <w:bCs w:val="false"/>
          <w:i w:val="false"/>
          <w:iCs w:val="false"/>
          <w:color w:val="000000"/>
          <w:sz w:val="22"/>
          <w:szCs w:val="22"/>
        </w:rPr>
        <w:t xml:space="preserve">The division by total re-normalizes the weights so they always sum to 1.0, even if the user drags a slider to an unusual combination. The or 0.01 floor ensures that no pillar can be completely eliminated from the composite — each contributes a minimum of approximately 0.5% regardless of slider position.</w:t>
      </w:r>
    </w:p>
    <w:p>
      <w:pPr>
        <w:spacing w:after="40" w:before="40"/>
      </w:pPr>
      <w:r>
        <w:t xml:space="preserve"/>
      </w:r>
    </w:p>
    <w:p>
      <w:pPr>
        <w:pStyle w:val="Heading2"/>
        <w:spacing w:after="120" w:before="320"/>
      </w:pPr>
      <w:r>
        <w:rPr>
          <w:rFonts w:ascii="Arial" w:cs="Arial" w:eastAsia="Arial" w:hAnsi="Arial"/>
          <w:b/>
          <w:bCs/>
          <w:color w:val="1D7A6B"/>
          <w:sz w:val="28"/>
          <w:szCs w:val="28"/>
        </w:rPr>
        <w:t xml:space="preserve">6.5  Four Dashboard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3760"/>
      </w:tblGrid>
      <w:tr>
        <w:trPr>
          <w:tblHeader/>
        </w:trPr>
        <w:tc>
          <w:tcPr>
            <w:tcW w:type="dxa" w:w="20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Scenario</w:t>
            </w:r>
          </w:p>
        </w:tc>
        <w:tc>
          <w:tcPr>
            <w:tcW w:type="dxa" w:w="12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w_env</w:t>
            </w:r>
          </w:p>
        </w:tc>
        <w:tc>
          <w:tcPr>
            <w:tcW w:type="dxa" w:w="12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w_econ</w:t>
            </w:r>
          </w:p>
        </w:tc>
        <w:tc>
          <w:tcPr>
            <w:tcW w:type="dxa" w:w="12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w_soc</w:t>
            </w:r>
          </w:p>
        </w:tc>
        <w:tc>
          <w:tcPr>
            <w:tcW w:type="dxa" w:w="37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Optimizes for</w:t>
            </w:r>
          </w:p>
        </w:tc>
      </w:tr>
      <w:tr>
        <w:tc>
          <w:tcPr>
            <w:tcW w:type="dxa" w:w="20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Balanced</w:t>
            </w:r>
          </w:p>
        </w:tc>
        <w:tc>
          <w:tcPr>
            <w:tcW w:type="dxa" w:w="12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0.33</w:t>
            </w:r>
          </w:p>
        </w:tc>
        <w:tc>
          <w:tcPr>
            <w:tcW w:type="dxa" w:w="12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0.33</w:t>
            </w:r>
          </w:p>
        </w:tc>
        <w:tc>
          <w:tcPr>
            <w:tcW w:type="dxa" w:w="12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0.34</w:t>
            </w:r>
          </w:p>
        </w:tc>
        <w:tc>
          <w:tcPr>
            <w:tcW w:type="dxa" w:w="37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Equal trade-off across all three pillars</w:t>
            </w:r>
          </w:p>
        </w:tc>
      </w:tr>
      <w:tr>
        <w:tc>
          <w:tcPr>
            <w:tcW w:type="dxa" w:w="20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Green</w:t>
            </w:r>
          </w:p>
        </w:tc>
        <w:tc>
          <w:tcPr>
            <w:tcW w:type="dxa" w:w="12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0.70</w:t>
            </w:r>
          </w:p>
        </w:tc>
        <w:tc>
          <w:tcPr>
            <w:tcW w:type="dxa" w:w="12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0.15</w:t>
            </w:r>
          </w:p>
        </w:tc>
        <w:tc>
          <w:tcPr>
            <w:tcW w:type="dxa" w:w="12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0.15</w:t>
            </w:r>
          </w:p>
        </w:tc>
        <w:tc>
          <w:tcPr>
            <w:tcW w:type="dxa" w:w="376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Minimizing CO₂ (KPI 1) as the primary objective</w:t>
            </w:r>
          </w:p>
        </w:tc>
      </w:tr>
      <w:tr>
        <w:tc>
          <w:tcPr>
            <w:tcW w:type="dxa" w:w="20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Fast / Available</w:t>
            </w:r>
          </w:p>
        </w:tc>
        <w:tc>
          <w:tcPr>
            <w:tcW w:type="dxa" w:w="12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0.20</w:t>
            </w:r>
          </w:p>
        </w:tc>
        <w:tc>
          <w:tcPr>
            <w:tcW w:type="dxa" w:w="12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0.60</w:t>
            </w:r>
          </w:p>
        </w:tc>
        <w:tc>
          <w:tcPr>
            <w:tcW w:type="dxa" w:w="12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0.20</w:t>
            </w:r>
          </w:p>
        </w:tc>
        <w:tc>
          <w:tcPr>
            <w:tcW w:type="dxa" w:w="37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Minimizing cost and stockout penalty (KPI 2 + KPI 3 indirect)</w:t>
            </w:r>
          </w:p>
        </w:tc>
      </w:tr>
      <w:tr>
        <w:tc>
          <w:tcPr>
            <w:tcW w:type="dxa" w:w="20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Cheap</w:t>
            </w:r>
          </w:p>
        </w:tc>
        <w:tc>
          <w:tcPr>
            <w:tcW w:type="dxa" w:w="12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0.15</w:t>
            </w:r>
          </w:p>
        </w:tc>
        <w:tc>
          <w:tcPr>
            <w:tcW w:type="dxa" w:w="12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0.70</w:t>
            </w:r>
          </w:p>
        </w:tc>
        <w:tc>
          <w:tcPr>
            <w:tcW w:type="dxa" w:w="12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0.15</w:t>
            </w:r>
          </w:p>
        </w:tc>
        <w:tc>
          <w:tcPr>
            <w:tcW w:type="dxa" w:w="376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Minimizing total procurement cost (KPI 2)</w:t>
            </w:r>
          </w:p>
        </w:tc>
      </w:tr>
    </w:tbl>
    <w:p>
      <w:pPr>
        <w:spacing w:after="40" w:before="40"/>
      </w:pPr>
      <w:r>
        <w:t xml:space="preserve"/>
      </w:r>
    </w:p>
    <w:p>
      <w:pPr>
        <w:spacing w:after="80" w:before="80"/>
        <w:jc w:val="left"/>
      </w:pPr>
      <w:r>
        <w:rPr>
          <w:rFonts w:ascii="Arial" w:cs="Arial" w:eastAsia="Arial" w:hAnsi="Arial"/>
          <w:b w:val="false"/>
          <w:bCs w:val="false"/>
          <w:i w:val="false"/>
          <w:iCs w:val="false"/>
          <w:color w:val="000000"/>
          <w:sz w:val="22"/>
          <w:szCs w:val="22"/>
        </w:rPr>
        <w:t xml:space="preserve">When a scenario is selected in the dashboard, the Monte Carlo simulation is re-run with vendor assignments derived from the new scorecard ranking, and all KPI tiles update to reflect the new scenario’s projected outcomes.</w:t>
      </w:r>
    </w:p>
    <w:p>
      <w:r>
        <w:br w:type="page"/>
      </w:r>
    </w:p>
    <w:p>
      <w:pPr>
        <w:pStyle w:val="Heading1"/>
        <w:pBdr>
          <w:bottom w:val="single" w:color="1B3A6B" w:sz="8" w:space="4"/>
        </w:pBdr>
        <w:spacing w:after="160" w:before="400"/>
      </w:pPr>
      <w:r>
        <w:rPr>
          <w:rFonts w:ascii="Arial" w:cs="Arial" w:eastAsia="Arial" w:hAnsi="Arial"/>
          <w:b/>
          <w:bCs/>
          <w:color w:val="1B3A6B"/>
          <w:sz w:val="36"/>
          <w:szCs w:val="36"/>
        </w:rPr>
        <w:t xml:space="preserve">7.  Monte Carlo Procurement Simulation</w:t>
      </w:r>
    </w:p>
    <w:p>
      <w:pPr>
        <w:spacing w:after="80" w:before="80"/>
        <w:jc w:val="left"/>
      </w:pPr>
      <w:r>
        <w:rPr>
          <w:rFonts w:ascii="Arial" w:cs="Arial" w:eastAsia="Arial" w:hAnsi="Arial"/>
          <w:b w:val="false"/>
          <w:bCs w:val="false"/>
          <w:i w:val="false"/>
          <w:iCs w:val="false"/>
          <w:color w:val="000000"/>
          <w:sz w:val="22"/>
          <w:szCs w:val="22"/>
        </w:rPr>
        <w:t xml:space="preserve">The simulation models the stochastic procurement environment over the 90-day FIFA 2026 service window. It answers: given a vendor’s typical lead time and its variability, how often will NJ Transit run out of stock, and what is the expected penalty and warehouse space required?</w:t>
      </w:r>
    </w:p>
    <w:p>
      <w:pPr>
        <w:spacing w:after="40" w:before="40"/>
      </w:pPr>
      <w:r>
        <w:t xml:space="preserve"/>
      </w:r>
    </w:p>
    <w:p>
      <w:pPr>
        <w:pStyle w:val="Heading2"/>
        <w:spacing w:after="120" w:before="320"/>
      </w:pPr>
      <w:r>
        <w:rPr>
          <w:rFonts w:ascii="Arial" w:cs="Arial" w:eastAsia="Arial" w:hAnsi="Arial"/>
          <w:b/>
          <w:bCs/>
          <w:color w:val="1D7A6B"/>
          <w:sz w:val="28"/>
          <w:szCs w:val="28"/>
        </w:rPr>
        <w:t xml:space="preserve">7.1  Simulation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5260"/>
      </w:tblGrid>
      <w:tr>
        <w:trPr>
          <w:tblHeader/>
        </w:trPr>
        <w:tc>
          <w:tcPr>
            <w:tcW w:type="dxa" w:w="25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16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Default value</w:t>
            </w:r>
          </w:p>
        </w:tc>
        <w:tc>
          <w:tcPr>
            <w:tcW w:type="dxa" w:w="52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Meaning</w:t>
            </w:r>
          </w:p>
        </w:tc>
      </w:tr>
      <w:tr>
        <w:tc>
          <w:tcPr>
            <w:tcW w:type="dxa" w:w="25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n_simulations</w:t>
            </w:r>
          </w:p>
        </w:tc>
        <w:tc>
          <w:tcPr>
            <w:tcW w:type="dxa" w:w="16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500</w:t>
            </w:r>
          </w:p>
        </w:tc>
        <w:tc>
          <w:tcPr>
            <w:tcW w:type="dxa" w:w="52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Number of independent Monte Carlo runs per part</w:t>
            </w:r>
          </w:p>
        </w:tc>
      </w:tr>
      <w:tr>
        <w:tc>
          <w:tcPr>
            <w:tcW w:type="dxa" w:w="25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horizon_days</w:t>
            </w:r>
          </w:p>
        </w:tc>
        <w:tc>
          <w:tcPr>
            <w:tcW w:type="dxa" w:w="16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90</w:t>
            </w:r>
          </w:p>
        </w:tc>
        <w:tc>
          <w:tcPr>
            <w:tcW w:type="dxa" w:w="526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FIFA 2026 service window length in days</w:t>
            </w:r>
          </w:p>
        </w:tc>
      </w:tr>
      <w:tr>
        <w:tc>
          <w:tcPr>
            <w:tcW w:type="dxa" w:w="25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reorder_point_days</w:t>
            </w:r>
          </w:p>
        </w:tc>
        <w:tc>
          <w:tcPr>
            <w:tcW w:type="dxa" w:w="16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30</w:t>
            </w:r>
          </w:p>
        </w:tc>
        <w:tc>
          <w:tcPr>
            <w:tcW w:type="dxa" w:w="52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Trigger a reorder when stock falls below 30 days of expected demand</w:t>
            </w:r>
          </w:p>
        </w:tc>
      </w:tr>
      <w:tr>
        <w:tc>
          <w:tcPr>
            <w:tcW w:type="dxa" w:w="25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initial_stock_multiplier</w:t>
            </w:r>
          </w:p>
        </w:tc>
        <w:tc>
          <w:tcPr>
            <w:tcW w:type="dxa" w:w="16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3</w:t>
            </w:r>
          </w:p>
        </w:tc>
        <w:tc>
          <w:tcPr>
            <w:tcW w:type="dxa" w:w="526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Start each simulation with 3× MOQ units in stock</w:t>
            </w:r>
          </w:p>
        </w:tc>
      </w:tr>
      <w:tr>
        <w:tc>
          <w:tcPr>
            <w:tcW w:type="dxa" w:w="25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seed</w:t>
            </w:r>
          </w:p>
        </w:tc>
        <w:tc>
          <w:tcPr>
            <w:tcW w:type="dxa" w:w="16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42</w:t>
            </w:r>
          </w:p>
        </w:tc>
        <w:tc>
          <w:tcPr>
            <w:tcW w:type="dxa" w:w="52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Random seed for reproducibility</w:t>
            </w:r>
          </w:p>
        </w:tc>
      </w:tr>
    </w:tbl>
    <w:p>
      <w:pPr>
        <w:spacing w:after="40" w:before="40"/>
      </w:pPr>
      <w:r>
        <w:t xml:space="preserve"/>
      </w:r>
    </w:p>
    <w:p>
      <w:pPr>
        <w:pStyle w:val="Heading2"/>
        <w:spacing w:after="120" w:before="320"/>
      </w:pPr>
      <w:r>
        <w:rPr>
          <w:rFonts w:ascii="Arial" w:cs="Arial" w:eastAsia="Arial" w:hAnsi="Arial"/>
          <w:b/>
          <w:bCs/>
          <w:color w:val="1D7A6B"/>
          <w:sz w:val="28"/>
          <w:szCs w:val="28"/>
        </w:rPr>
        <w:t xml:space="preserve">7.2  Daily Demand Estimation</w:t>
      </w:r>
    </w:p>
    <w:p>
      <w:pPr>
        <w:spacing w:after="80" w:before="80"/>
        <w:jc w:val="left"/>
      </w:pPr>
      <w:r>
        <w:rPr>
          <w:rFonts w:ascii="Arial" w:cs="Arial" w:eastAsia="Arial" w:hAnsi="Arial"/>
          <w:b w:val="false"/>
          <w:bCs w:val="false"/>
          <w:i w:val="false"/>
          <w:iCs w:val="false"/>
          <w:color w:val="000000"/>
          <w:sz w:val="22"/>
          <w:szCs w:val="22"/>
        </w:rPr>
        <w:t xml:space="preserve">Before the simulation loop, a daily demand rate is estimated for each product using:</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D7A6B" w:sz="8"/>
              <w:left w:val="single" w:color="1D7A6B" w:sz="12"/>
              <w:bottom w:val="single" w:color="1D7A6B" w:sz="4"/>
              <w:right w:val="none" w:color="FFFFFF" w:sz="0"/>
            </w:tcBorders>
            <w:shd w:fill="E6F4F1" w:val="clear"/>
            <w:tcMar>
              <w:top w:type="dxa" w:w="100"/>
              <w:left w:type="dxa" w:w="180"/>
              <w:bottom w:type="dxa" w:w="100"/>
              <w:right w:type="dxa" w:w="180"/>
            </w:tcMar>
          </w:tcPr>
          <w:p>
            <w:pPr>
              <w:spacing w:after="60" w:before="0"/>
            </w:pPr>
            <w:r>
              <w:rPr>
                <w:rFonts w:ascii="Arial" w:cs="Arial" w:eastAsia="Arial" w:hAnsi="Arial"/>
                <w:b/>
                <w:bCs/>
                <w:color w:val="1D7A6B"/>
                <w:sz w:val="20"/>
                <w:szCs w:val="20"/>
              </w:rPr>
              <w:t xml:space="preserve">Daily demand:  </w:t>
            </w:r>
            <w:r>
              <w:rPr>
                <w:rFonts w:ascii="Courier New" w:cs="Courier New" w:eastAsia="Courier New" w:hAnsi="Courier New"/>
                <w:color w:val="1B3A6B"/>
                <w:sz w:val="20"/>
                <w:szCs w:val="20"/>
              </w:rPr>
              <w:t xml:space="preserve">daily_demand = sum(Quantity_Needed) ÷ 90</w:t>
            </w:r>
          </w:p>
          <w:p>
            <w:pPr>
              <w:spacing w:after="0" w:before="0"/>
            </w:pPr>
            <w:r>
              <w:rPr>
                <w:rFonts w:ascii="Arial" w:cs="Arial" w:eastAsia="Arial" w:hAnsi="Arial"/>
                <w:i/>
                <w:iCs/>
                <w:color w:val="555555"/>
                <w:sz w:val="18"/>
                <w:szCs w:val="18"/>
              </w:rPr>
              <w:t xml:space="preserve">Sums all order quantities for this product across all vendors, divides by the 90-day FIFA window</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6"/>
              <w:left w:val="single" w:color="B45309" w:sz="20"/>
              <w:bottom w:val="single" w:color="B45309" w:sz="6"/>
              <w:right w:val="none" w:color="FFFFFF" w:sz="0"/>
            </w:tcBorders>
            <w:shd w:fill="FEF9EC" w:val="clear"/>
            <w:tcMar>
              <w:top w:type="dxa" w:w="100"/>
              <w:left w:type="dxa" w:w="200"/>
              <w:bottom w:type="dxa" w:w="100"/>
              <w:right w:type="dxa" w:w="180"/>
            </w:tcMar>
          </w:tcPr>
          <w:p>
            <w:pPr>
              <w:spacing w:after="60" w:before="0"/>
            </w:pPr>
            <w:r>
              <w:rPr>
                <w:rFonts w:ascii="Arial" w:cs="Arial" w:eastAsia="Arial" w:hAnsi="Arial"/>
                <w:b/>
                <w:bCs/>
                <w:color w:val="B45309"/>
                <w:sz w:val="22"/>
                <w:szCs w:val="22"/>
              </w:rPr>
              <w:t xml:space="preserve">Why divide by 90, not by lead time?</w:t>
            </w:r>
          </w:p>
          <w:p>
            <w:pPr>
              <w:spacing w:after="0" w:before="0"/>
            </w:pPr>
            <w:r>
              <w:rPr>
                <w:rFonts w:ascii="Arial" w:cs="Arial" w:eastAsia="Arial" w:hAnsi="Arial"/>
                <w:color w:val="000000"/>
                <w:sz w:val="21"/>
                <w:szCs w:val="21"/>
              </w:rPr>
              <w:t xml:space="preserve">Lead time is the replenishment delay — how long a vendor takes to ship. It is not the consumption window. Dividing quantity by lead time would make a slow vendor (60-day lead time) appear to serve twice the daily demand of a fast vendor (30-day lead time) for the same order quantity, which is logically incorrect. The 90-day FIFA horizon is the actual period over which goods are consumed, so it is the correct denominator. This was corrected in v2 of the simulation.</w:t>
            </w:r>
          </w:p>
        </w:tc>
      </w:tr>
    </w:tbl>
    <w:p>
      <w:pPr>
        <w:spacing w:after="40" w:before="40"/>
      </w:pPr>
      <w:r>
        <w:t xml:space="preserve"/>
      </w:r>
    </w:p>
    <w:p>
      <w:pPr>
        <w:pStyle w:val="Heading2"/>
        <w:spacing w:after="120" w:before="320"/>
      </w:pPr>
      <w:r>
        <w:rPr>
          <w:rFonts w:ascii="Arial" w:cs="Arial" w:eastAsia="Arial" w:hAnsi="Arial"/>
          <w:b/>
          <w:bCs/>
          <w:color w:val="1D7A6B"/>
          <w:sz w:val="28"/>
          <w:szCs w:val="28"/>
        </w:rPr>
        <w:t xml:space="preserve">7.3  Per-Simulation Daily Loop</w:t>
      </w:r>
    </w:p>
    <w:p>
      <w:pPr>
        <w:spacing w:after="80" w:before="80"/>
        <w:jc w:val="left"/>
      </w:pPr>
      <w:r>
        <w:rPr>
          <w:rFonts w:ascii="Arial" w:cs="Arial" w:eastAsia="Arial" w:hAnsi="Arial"/>
          <w:b w:val="false"/>
          <w:bCs w:val="false"/>
          <w:i w:val="false"/>
          <w:iCs w:val="false"/>
          <w:color w:val="000000"/>
          <w:sz w:val="22"/>
          <w:szCs w:val="22"/>
        </w:rPr>
        <w:t xml:space="preserve">For each of the 500 runs per part, the following steps execute for every day d in the 90-day horizon: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24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Operation</w:t>
            </w:r>
          </w:p>
        </w:tc>
        <w:tc>
          <w:tcPr>
            <w:tcW w:type="dxa" w:w="57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Formula / Logic</w:t>
            </w:r>
          </w:p>
        </w:tc>
      </w:tr>
      <w:tr>
        <w:tc>
          <w:tcPr>
            <w:tcW w:type="dxa" w:w="12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1. Consume</w:t>
            </w:r>
          </w:p>
        </w:tc>
        <w:tc>
          <w:tcPr>
            <w:tcW w:type="dxa" w:w="24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Draw daily consumption</w:t>
            </w:r>
          </w:p>
        </w:tc>
        <w:tc>
          <w:tcPr>
            <w:tcW w:type="dxa" w:w="57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consumed = Poisson(λ = daily_demand)   [stochastic demand]</w:t>
            </w:r>
          </w:p>
        </w:tc>
      </w:tr>
      <w:tr>
        <w:tc>
          <w:tcPr>
            <w:tcW w:type="dxa" w:w="12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2. Deplete</w:t>
            </w:r>
          </w:p>
        </w:tc>
        <w:tc>
          <w:tcPr>
            <w:tcW w:type="dxa" w:w="24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Reduce inventory</w:t>
            </w:r>
          </w:p>
        </w:tc>
        <w:tc>
          <w:tcPr>
            <w:tcW w:type="dxa" w:w="576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inventory = max(0, inventory − consumed)   [no negative stock]</w:t>
            </w:r>
          </w:p>
        </w:tc>
      </w:tr>
      <w:tr>
        <w:tc>
          <w:tcPr>
            <w:tcW w:type="dxa" w:w="12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3. Receive</w:t>
            </w:r>
          </w:p>
        </w:tc>
        <w:tc>
          <w:tcPr>
            <w:tcW w:type="dxa" w:w="24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Check if pending order arrives</w:t>
            </w:r>
          </w:p>
        </w:tc>
        <w:tc>
          <w:tcPr>
            <w:tcW w:type="dxa" w:w="57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if day ≥ order_arriving_day: inventory += order_qty</w:t>
            </w:r>
          </w:p>
        </w:tc>
      </w:tr>
      <w:tr>
        <w:tc>
          <w:tcPr>
            <w:tcW w:type="dxa" w:w="12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4. Reorder</w:t>
            </w:r>
          </w:p>
        </w:tc>
        <w:tc>
          <w:tcPr>
            <w:tcW w:type="dxa" w:w="24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Check reorder trigger</w:t>
            </w:r>
          </w:p>
        </w:tc>
        <w:tc>
          <w:tcPr>
            <w:tcW w:type="dxa" w:w="576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if inventory &lt; daily_demand × 30 AND no pending order: place new order</w:t>
            </w:r>
          </w:p>
        </w:tc>
      </w:tr>
      <w:tr>
        <w:tc>
          <w:tcPr>
            <w:tcW w:type="dxa" w:w="12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5. Order qty</w:t>
            </w:r>
          </w:p>
        </w:tc>
        <w:tc>
          <w:tcPr>
            <w:tcW w:type="dxa" w:w="24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Compute order size</w:t>
            </w:r>
          </w:p>
        </w:tc>
        <w:tc>
          <w:tcPr>
            <w:tcW w:type="dxa" w:w="57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order_qty = max(MOQ, ceil(daily_demand × (lead + 30)))</w:t>
            </w:r>
          </w:p>
        </w:tc>
      </w:tr>
      <w:tr>
        <w:tc>
          <w:tcPr>
            <w:tcW w:type="dxa" w:w="12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6. Lead time</w:t>
            </w:r>
          </w:p>
        </w:tc>
        <w:tc>
          <w:tcPr>
            <w:tcW w:type="dxa" w:w="24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Sample delivery delay</w:t>
            </w:r>
          </w:p>
        </w:tc>
        <w:tc>
          <w:tcPr>
            <w:tcW w:type="dxa" w:w="576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lead = max(1, Normal(μ = lead_mean, σ = lead_std))</w:t>
            </w:r>
          </w:p>
        </w:tc>
      </w:tr>
      <w:tr>
        <w:tc>
          <w:tcPr>
            <w:tcW w:type="dxa" w:w="12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7. Stockout</w:t>
            </w:r>
          </w:p>
        </w:tc>
        <w:tc>
          <w:tcPr>
            <w:tcW w:type="dxa" w:w="24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Detect and penalize</w:t>
            </w:r>
          </w:p>
        </w:tc>
        <w:tc>
          <w:tcPr>
            <w:tcW w:type="dxa" w:w="57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if inventory = 0: stockout_days += 1; penalty += penalty_cost_day</w:t>
            </w:r>
          </w:p>
        </w:tc>
      </w:tr>
      <w:tr>
        <w:tc>
          <w:tcPr>
            <w:tcW w:type="dxa" w:w="12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8. Peak track</w:t>
            </w:r>
          </w:p>
        </w:tc>
        <w:tc>
          <w:tcPr>
            <w:tcW w:type="dxa" w:w="24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Record warehouse peak</w:t>
            </w:r>
          </w:p>
        </w:tc>
        <w:tc>
          <w:tcPr>
            <w:tcW w:type="dxa" w:w="576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sim_peak_units = max(sim_peak_units, inventory)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7A6B" w:sz="6"/>
              <w:left w:val="single" w:color="1D7A6B" w:sz="20"/>
              <w:bottom w:val="single" w:color="1D7A6B" w:sz="6"/>
              <w:right w:val="none" w:color="FFFFFF" w:sz="0"/>
            </w:tcBorders>
            <w:shd w:fill="E6F4F1" w:val="clear"/>
            <w:tcMar>
              <w:top w:type="dxa" w:w="100"/>
              <w:left w:type="dxa" w:w="200"/>
              <w:bottom w:type="dxa" w:w="100"/>
              <w:right w:type="dxa" w:w="180"/>
            </w:tcMar>
          </w:tcPr>
          <w:p>
            <w:pPr>
              <w:spacing w:after="60" w:before="0"/>
            </w:pPr>
            <w:r>
              <w:rPr>
                <w:rFonts w:ascii="Arial" w:cs="Arial" w:eastAsia="Arial" w:hAnsi="Arial"/>
                <w:b/>
                <w:bCs/>
                <w:color w:val="1D7A6B"/>
                <w:sz w:val="22"/>
                <w:szCs w:val="22"/>
              </w:rPr>
              <w:t xml:space="preserve">Why Poisson demand?</w:t>
            </w:r>
          </w:p>
          <w:p>
            <w:pPr>
              <w:spacing w:after="0" w:before="0"/>
            </w:pPr>
            <w:r>
              <w:rPr>
                <w:rFonts w:ascii="Arial" w:cs="Arial" w:eastAsia="Arial" w:hAnsi="Arial"/>
                <w:color w:val="000000"/>
                <w:sz w:val="21"/>
                <w:szCs w:val="21"/>
              </w:rPr>
              <w:t xml:space="preserve">Poisson distribution is the standard model for discrete, independent demand events (e.g., the number of parts consumed on a given day). Its key property is that variance equals the mean, which is appropriate for spare parts where demand is irregular but non-negative and integer-valued.</w:t>
            </w:r>
          </w:p>
        </w:tc>
      </w:tr>
    </w:tbl>
    <w:p>
      <w:pPr>
        <w:spacing w:after="40" w:before="40"/>
      </w:pPr>
      <w:r>
        <w:t xml:space="preserve"/>
      </w:r>
    </w:p>
    <w:p>
      <w:pPr>
        <w:pStyle w:val="Heading2"/>
        <w:spacing w:after="120" w:before="320"/>
      </w:pPr>
      <w:r>
        <w:rPr>
          <w:rFonts w:ascii="Arial" w:cs="Arial" w:eastAsia="Arial" w:hAnsi="Arial"/>
          <w:b/>
          <w:bCs/>
          <w:color w:val="1D7A6B"/>
          <w:sz w:val="28"/>
          <w:szCs w:val="28"/>
        </w:rPr>
        <w:t xml:space="preserve">7.4  Per-Part Summary Statistics</w:t>
      </w:r>
    </w:p>
    <w:p>
      <w:pPr>
        <w:spacing w:after="80" w:before="80"/>
        <w:jc w:val="left"/>
      </w:pPr>
      <w:r>
        <w:rPr>
          <w:rFonts w:ascii="Arial" w:cs="Arial" w:eastAsia="Arial" w:hAnsi="Arial"/>
          <w:b w:val="false"/>
          <w:bCs w:val="false"/>
          <w:i w:val="false"/>
          <w:iCs w:val="false"/>
          <w:color w:val="000000"/>
          <w:sz w:val="22"/>
          <w:szCs w:val="22"/>
        </w:rPr>
        <w:t xml:space="preserve">After all 500 simulations complete for a part, the following statistics are computed: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D7A6B" w:sz="8"/>
              <w:left w:val="single" w:color="1D7A6B" w:sz="12"/>
              <w:bottom w:val="single" w:color="1D7A6B" w:sz="4"/>
              <w:right w:val="none" w:color="FFFFFF" w:sz="0"/>
            </w:tcBorders>
            <w:shd w:fill="E6F4F1" w:val="clear"/>
            <w:tcMar>
              <w:top w:type="dxa" w:w="100"/>
              <w:left w:type="dxa" w:w="180"/>
              <w:bottom w:type="dxa" w:w="100"/>
              <w:right w:type="dxa" w:w="180"/>
            </w:tcMar>
          </w:tcPr>
          <w:p>
            <w:pPr>
              <w:spacing w:after="0" w:before="0"/>
            </w:pPr>
            <w:r>
              <w:rPr>
                <w:rFonts w:ascii="Arial" w:cs="Arial" w:eastAsia="Arial" w:hAnsi="Arial"/>
                <w:b/>
                <w:bCs/>
                <w:color w:val="1D7A6B"/>
                <w:sz w:val="20"/>
                <w:szCs w:val="20"/>
              </w:rPr>
              <w:t xml:space="preserve">Stockout probability:  </w:t>
            </w:r>
            <w:r>
              <w:rPr>
                <w:rFonts w:ascii="Courier New" w:cs="Courier New" w:eastAsia="Courier New" w:hAnsi="Courier New"/>
                <w:color w:val="1B3A6B"/>
                <w:sz w:val="20"/>
                <w:szCs w:val="20"/>
              </w:rPr>
              <w:t xml:space="preserve">stockout_prob = total_stockout_days ÷ (500 simulations × 90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D7A6B" w:sz="8"/>
              <w:left w:val="single" w:color="1D7A6B" w:sz="12"/>
              <w:bottom w:val="single" w:color="1D7A6B" w:sz="4"/>
              <w:right w:val="none" w:color="FFFFFF" w:sz="0"/>
            </w:tcBorders>
            <w:shd w:fill="E6F4F1" w:val="clear"/>
            <w:tcMar>
              <w:top w:type="dxa" w:w="100"/>
              <w:left w:type="dxa" w:w="180"/>
              <w:bottom w:type="dxa" w:w="100"/>
              <w:right w:type="dxa" w:w="180"/>
            </w:tcMar>
          </w:tcPr>
          <w:p>
            <w:pPr>
              <w:spacing w:after="0" w:before="0"/>
            </w:pPr>
            <w:r>
              <w:rPr>
                <w:rFonts w:ascii="Arial" w:cs="Arial" w:eastAsia="Arial" w:hAnsi="Arial"/>
                <w:b/>
                <w:bCs/>
                <w:color w:val="1D7A6B"/>
                <w:sz w:val="20"/>
                <w:szCs w:val="20"/>
              </w:rPr>
              <w:t xml:space="preserve">Average orders:  </w:t>
            </w:r>
            <w:r>
              <w:rPr>
                <w:rFonts w:ascii="Courier New" w:cs="Courier New" w:eastAsia="Courier New" w:hAnsi="Courier New"/>
                <w:color w:val="1B3A6B"/>
                <w:sz w:val="20"/>
                <w:szCs w:val="20"/>
              </w:rPr>
              <w:t xml:space="preserve">avg_orders = total_orders ÷ 500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D7A6B" w:sz="8"/>
              <w:left w:val="single" w:color="1D7A6B" w:sz="12"/>
              <w:bottom w:val="single" w:color="1D7A6B" w:sz="4"/>
              <w:right w:val="none" w:color="FFFFFF" w:sz="0"/>
            </w:tcBorders>
            <w:shd w:fill="E6F4F1" w:val="clear"/>
            <w:tcMar>
              <w:top w:type="dxa" w:w="100"/>
              <w:left w:type="dxa" w:w="180"/>
              <w:bottom w:type="dxa" w:w="100"/>
              <w:right w:type="dxa" w:w="180"/>
            </w:tcMar>
          </w:tcPr>
          <w:p>
            <w:pPr>
              <w:spacing w:after="0" w:before="0"/>
            </w:pPr>
            <w:r>
              <w:rPr>
                <w:rFonts w:ascii="Arial" w:cs="Arial" w:eastAsia="Arial" w:hAnsi="Arial"/>
                <w:b/>
                <w:bCs/>
                <w:color w:val="1D7A6B"/>
                <w:sz w:val="20"/>
                <w:szCs w:val="20"/>
              </w:rPr>
              <w:t xml:space="preserve">Average units ordered:  </w:t>
            </w:r>
            <w:r>
              <w:rPr>
                <w:rFonts w:ascii="Courier New" w:cs="Courier New" w:eastAsia="Courier New" w:hAnsi="Courier New"/>
                <w:color w:val="1B3A6B"/>
                <w:sz w:val="20"/>
                <w:szCs w:val="20"/>
              </w:rPr>
              <w:t xml:space="preserve">avg_units = total_units ÷ 500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D7A6B" w:sz="8"/>
              <w:left w:val="single" w:color="1D7A6B" w:sz="12"/>
              <w:bottom w:val="single" w:color="1D7A6B" w:sz="4"/>
              <w:right w:val="none" w:color="FFFFFF" w:sz="0"/>
            </w:tcBorders>
            <w:shd w:fill="E6F4F1" w:val="clear"/>
            <w:tcMar>
              <w:top w:type="dxa" w:w="100"/>
              <w:left w:type="dxa" w:w="180"/>
              <w:bottom w:type="dxa" w:w="100"/>
              <w:right w:type="dxa" w:w="180"/>
            </w:tcMar>
          </w:tcPr>
          <w:p>
            <w:pPr>
              <w:spacing w:after="0" w:before="0"/>
            </w:pPr>
            <w:r>
              <w:rPr>
                <w:rFonts w:ascii="Arial" w:cs="Arial" w:eastAsia="Arial" w:hAnsi="Arial"/>
                <w:b/>
                <w:bCs/>
                <w:color w:val="1D7A6B"/>
                <w:sz w:val="20"/>
                <w:szCs w:val="20"/>
              </w:rPr>
              <w:t xml:space="preserve">Average procurement cost:  </w:t>
            </w:r>
            <w:r>
              <w:rPr>
                <w:rFonts w:ascii="Courier New" w:cs="Courier New" w:eastAsia="Courier New" w:hAnsi="Courier New"/>
                <w:color w:val="1B3A6B"/>
                <w:sz w:val="20"/>
                <w:szCs w:val="20"/>
              </w:rPr>
              <w:t xml:space="preserve">avg_cost = avg_units × unit_total_cost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D7A6B" w:sz="8"/>
              <w:left w:val="single" w:color="1D7A6B" w:sz="12"/>
              <w:bottom w:val="single" w:color="1D7A6B" w:sz="4"/>
              <w:right w:val="none" w:color="FFFFFF" w:sz="0"/>
            </w:tcBorders>
            <w:shd w:fill="E6F4F1" w:val="clear"/>
            <w:tcMar>
              <w:top w:type="dxa" w:w="100"/>
              <w:left w:type="dxa" w:w="180"/>
              <w:bottom w:type="dxa" w:w="100"/>
              <w:right w:type="dxa" w:w="180"/>
            </w:tcMar>
          </w:tcPr>
          <w:p>
            <w:pPr>
              <w:spacing w:after="0" w:before="0"/>
            </w:pPr>
            <w:r>
              <w:rPr>
                <w:rFonts w:ascii="Arial" w:cs="Arial" w:eastAsia="Arial" w:hAnsi="Arial"/>
                <w:b/>
                <w:bCs/>
                <w:color w:val="1D7A6B"/>
                <w:sz w:val="20"/>
                <w:szCs w:val="20"/>
              </w:rPr>
              <w:t xml:space="preserve">Average penalty cost:  </w:t>
            </w:r>
            <w:r>
              <w:rPr>
                <w:rFonts w:ascii="Courier New" w:cs="Courier New" w:eastAsia="Courier New" w:hAnsi="Courier New"/>
                <w:color w:val="1B3A6B"/>
                <w:sz w:val="20"/>
                <w:szCs w:val="20"/>
              </w:rPr>
              <w:t xml:space="preserve">avg_penalty = total_penalty ÷ 500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D7A6B" w:sz="8"/>
              <w:left w:val="single" w:color="1D7A6B" w:sz="12"/>
              <w:bottom w:val="single" w:color="1D7A6B" w:sz="4"/>
              <w:right w:val="none" w:color="FFFFFF" w:sz="0"/>
            </w:tcBorders>
            <w:shd w:fill="E6F4F1" w:val="clear"/>
            <w:tcMar>
              <w:top w:type="dxa" w:w="100"/>
              <w:left w:type="dxa" w:w="180"/>
              <w:bottom w:type="dxa" w:w="100"/>
              <w:right w:type="dxa" w:w="180"/>
            </w:tcMar>
          </w:tcPr>
          <w:p>
            <w:pPr>
              <w:spacing w:after="0" w:before="0"/>
            </w:pPr>
            <w:r>
              <w:rPr>
                <w:rFonts w:ascii="Arial" w:cs="Arial" w:eastAsia="Arial" w:hAnsi="Arial"/>
                <w:b/>
                <w:bCs/>
                <w:color w:val="1D7A6B"/>
                <w:sz w:val="20"/>
                <w:szCs w:val="20"/>
              </w:rPr>
              <w:t xml:space="preserve">Average peak inventory:  </w:t>
            </w:r>
            <w:r>
              <w:rPr>
                <w:rFonts w:ascii="Courier New" w:cs="Courier New" w:eastAsia="Courier New" w:hAnsi="Courier New"/>
                <w:color w:val="1B3A6B"/>
                <w:sz w:val="20"/>
                <w:szCs w:val="20"/>
              </w:rPr>
              <w:t xml:space="preserve">avg_peak_units = total_peak_units ÷ 500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D7A6B" w:sz="8"/>
              <w:left w:val="single" w:color="1D7A6B" w:sz="12"/>
              <w:bottom w:val="single" w:color="1D7A6B" w:sz="4"/>
              <w:right w:val="none" w:color="FFFFFF" w:sz="0"/>
            </w:tcBorders>
            <w:shd w:fill="E6F4F1" w:val="clear"/>
            <w:tcMar>
              <w:top w:type="dxa" w:w="100"/>
              <w:left w:type="dxa" w:w="180"/>
              <w:bottom w:type="dxa" w:w="100"/>
              <w:right w:type="dxa" w:w="180"/>
            </w:tcMar>
          </w:tcPr>
          <w:p>
            <w:pPr>
              <w:spacing w:after="0" w:before="0"/>
            </w:pPr>
            <w:r>
              <w:rPr>
                <w:rFonts w:ascii="Arial" w:cs="Arial" w:eastAsia="Arial" w:hAnsi="Arial"/>
                <w:b/>
                <w:bCs/>
                <w:color w:val="1D7A6B"/>
                <w:sz w:val="20"/>
                <w:szCs w:val="20"/>
              </w:rPr>
              <w:t xml:space="preserve">Peak warehouse space:  </w:t>
            </w:r>
            <w:r>
              <w:rPr>
                <w:rFonts w:ascii="Courier New" w:cs="Courier New" w:eastAsia="Courier New" w:hAnsi="Courier New"/>
                <w:color w:val="1B3A6B"/>
                <w:sz w:val="20"/>
                <w:szCs w:val="20"/>
              </w:rPr>
              <w:t xml:space="preserve">peak_warehouse_m3 = avg_peak_units × unit_volume_m3</w:t>
            </w:r>
          </w:p>
        </w:tc>
      </w:tr>
    </w:tbl>
    <w:p>
      <w:pPr>
        <w:spacing w:after="40" w:before="40"/>
      </w:pPr>
      <w:r>
        <w:t xml:space="preserve"/>
      </w:r>
    </w:p>
    <w:p>
      <w:pPr>
        <w:spacing w:after="80" w:before="80"/>
        <w:jc w:val="left"/>
      </w:pPr>
      <w:r>
        <w:rPr>
          <w:rFonts w:ascii="Arial" w:cs="Arial" w:eastAsia="Arial" w:hAnsi="Arial"/>
          <w:b w:val="false"/>
          <w:bCs w:val="false"/>
          <w:i w:val="false"/>
          <w:iCs w:val="false"/>
          <w:color w:val="000000"/>
          <w:sz w:val="22"/>
          <w:szCs w:val="22"/>
        </w:rPr>
        <w:t xml:space="preserve">unit_total_cost is derived from the raw data for the specific vendor-product combination: total_cost (KPI 2) divided by total Quantity_Needed. If no matching rows exist (the vendor does not supply this part in the raw data), it falls back to the vendor’s overall cost mean.</w:t>
      </w:r>
    </w:p>
    <w:p>
      <w:pPr>
        <w:spacing w:after="40" w:before="40"/>
      </w:pPr>
      <w:r>
        <w:t xml:space="preserve"/>
      </w:r>
    </w:p>
    <w:p>
      <w:pPr>
        <w:pStyle w:val="Heading2"/>
        <w:spacing w:after="120" w:before="320"/>
      </w:pPr>
      <w:r>
        <w:rPr>
          <w:rFonts w:ascii="Arial" w:cs="Arial" w:eastAsia="Arial" w:hAnsi="Arial"/>
          <w:b/>
          <w:bCs/>
          <w:color w:val="1D7A6B"/>
          <w:sz w:val="28"/>
          <w:szCs w:val="28"/>
        </w:rPr>
        <w:t xml:space="preserve">7.5  Warehouse Capacity Model</w:t>
      </w:r>
    </w:p>
    <w:p>
      <w:pPr>
        <w:spacing w:after="80" w:before="80"/>
        <w:jc w:val="left"/>
      </w:pPr>
      <w:r>
        <w:rPr>
          <w:rFonts w:ascii="Arial" w:cs="Arial" w:eastAsia="Arial" w:hAnsi="Arial"/>
          <w:b w:val="false"/>
          <w:bCs w:val="false"/>
          <w:i w:val="false"/>
          <w:iCs w:val="false"/>
          <w:color w:val="000000"/>
          <w:sz w:val="22"/>
          <w:szCs w:val="22"/>
        </w:rPr>
        <w:t xml:space="preserve">The warehouse available capacity is derived from the peak concurrent inventory calculated across all parts at their preferred vendors: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D7A6B" w:sz="8"/>
              <w:left w:val="single" w:color="1D7A6B" w:sz="12"/>
              <w:bottom w:val="single" w:color="1D7A6B" w:sz="4"/>
              <w:right w:val="none" w:color="FFFFFF" w:sz="0"/>
            </w:tcBorders>
            <w:shd w:fill="E6F4F1" w:val="clear"/>
            <w:tcMar>
              <w:top w:type="dxa" w:w="100"/>
              <w:left w:type="dxa" w:w="180"/>
              <w:bottom w:type="dxa" w:w="100"/>
              <w:right w:type="dxa" w:w="180"/>
            </w:tcMar>
          </w:tcPr>
          <w:p>
            <w:pPr>
              <w:spacing w:after="0" w:before="0"/>
            </w:pPr>
            <w:r>
              <w:rPr>
                <w:rFonts w:ascii="Arial" w:cs="Arial" w:eastAsia="Arial" w:hAnsi="Arial"/>
                <w:b/>
                <w:bCs/>
                <w:color w:val="1D7A6B"/>
                <w:sz w:val="20"/>
                <w:szCs w:val="20"/>
              </w:rPr>
              <w:t xml:space="preserve">peak_concurrent_m3:  </w:t>
            </w:r>
            <w:r>
              <w:rPr>
                <w:rFonts w:ascii="Courier New" w:cs="Courier New" w:eastAsia="Courier New" w:hAnsi="Courier New"/>
                <w:color w:val="1B3A6B"/>
                <w:sz w:val="20"/>
                <w:szCs w:val="20"/>
              </w:rPr>
              <w:t xml:space="preserve">Σ over all parts: (MOQ + safety_stock) × unit_volume_m3
where safety_stock = daily_demand × 30</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Warehouse parameter</w:t>
            </w:r>
          </w:p>
        </w:tc>
        <w:tc>
          <w:tcPr>
            <w:tcW w:type="dxa" w:w="30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Formula</w:t>
            </w:r>
          </w:p>
        </w:tc>
        <w:tc>
          <w:tcPr>
            <w:tcW w:type="dxa" w:w="39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Meaning</w:t>
            </w:r>
          </w:p>
        </w:tc>
      </w:tr>
      <w:tr>
        <w:tc>
          <w:tcPr>
            <w:tcW w:type="dxa" w:w="24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total_capacity_m3</w:t>
            </w:r>
          </w:p>
        </w:tc>
        <w:tc>
          <w:tcPr>
            <w:tcW w:type="dxa" w:w="30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3.0 × peak_concurrent_m3</w:t>
            </w:r>
          </w:p>
        </w:tc>
        <w:tc>
          <w:tcPr>
            <w:tcW w:type="dxa" w:w="39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Total physical warehouse capacity — 3× peak provides adequate buffer</w:t>
            </w:r>
          </w:p>
        </w:tc>
      </w:tr>
      <w:tr>
        <w:tc>
          <w:tcPr>
            <w:tcW w:type="dxa" w:w="24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current_used_m3</w:t>
            </w:r>
          </w:p>
        </w:tc>
        <w:tc>
          <w:tcPr>
            <w:tcW w:type="dxa" w:w="30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1.0 × peak_concurrent_m3</w:t>
            </w:r>
          </w:p>
        </w:tc>
        <w:tc>
          <w:tcPr>
            <w:tcW w:type="dxa" w:w="396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Existing inventory occupying warehouse space</w:t>
            </w:r>
          </w:p>
        </w:tc>
      </w:tr>
      <w:tr>
        <w:tc>
          <w:tcPr>
            <w:tcW w:type="dxa" w:w="24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fifa_reserved_m3</w:t>
            </w:r>
          </w:p>
        </w:tc>
        <w:tc>
          <w:tcPr>
            <w:tcW w:type="dxa" w:w="30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0.4 × peak_concurrent_m3</w:t>
            </w:r>
          </w:p>
        </w:tc>
        <w:tc>
          <w:tcPr>
            <w:tcW w:type="dxa" w:w="39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Space reserved exclusively for FIFA 2026 event operations</w:t>
            </w:r>
          </w:p>
        </w:tc>
      </w:tr>
      <w:tr>
        <w:tc>
          <w:tcPr>
            <w:tcW w:type="dxa" w:w="24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available_m3</w:t>
            </w:r>
          </w:p>
        </w:tc>
        <w:tc>
          <w:tcPr>
            <w:tcW w:type="dxa" w:w="30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total − current_used − fifa_reserved</w:t>
            </w:r>
          </w:p>
        </w:tc>
        <w:tc>
          <w:tcPr>
            <w:tcW w:type="dxa" w:w="396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Space available for new procurement orders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D7A6B" w:sz="8"/>
              <w:left w:val="single" w:color="1D7A6B" w:sz="12"/>
              <w:bottom w:val="single" w:color="1D7A6B" w:sz="4"/>
              <w:right w:val="none" w:color="FFFFFF" w:sz="0"/>
            </w:tcBorders>
            <w:shd w:fill="E6F4F1" w:val="clear"/>
            <w:tcMar>
              <w:top w:type="dxa" w:w="100"/>
              <w:left w:type="dxa" w:w="180"/>
              <w:bottom w:type="dxa" w:w="100"/>
              <w:right w:type="dxa" w:w="180"/>
            </w:tcMar>
          </w:tcPr>
          <w:p>
            <w:pPr>
              <w:spacing w:after="0" w:before="0"/>
            </w:pPr>
            <w:r>
              <w:rPr>
                <w:rFonts w:ascii="Arial" w:cs="Arial" w:eastAsia="Arial" w:hAnsi="Arial"/>
                <w:b/>
                <w:bCs/>
                <w:color w:val="1D7A6B"/>
                <w:sz w:val="20"/>
                <w:szCs w:val="20"/>
              </w:rPr>
              <w:t xml:space="preserve">Warehouse utilization:  </w:t>
            </w:r>
            <w:r>
              <w:rPr>
                <w:rFonts w:ascii="Courier New" w:cs="Courier New" w:eastAsia="Courier New" w:hAnsi="Courier New"/>
                <w:color w:val="1B3A6B"/>
                <w:sz w:val="20"/>
                <w:szCs w:val="20"/>
              </w:rPr>
              <w:t xml:space="preserve">wh_utilization = (Σ peak_warehouse_m3 across all parts) ÷ available_m3 × 100%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D7A6B" w:sz="8"/>
              <w:left w:val="single" w:color="1D7A6B" w:sz="12"/>
              <w:bottom w:val="single" w:color="1D7A6B" w:sz="4"/>
              <w:right w:val="none" w:color="FFFFFF" w:sz="0"/>
            </w:tcBorders>
            <w:shd w:fill="E6F4F1" w:val="clear"/>
            <w:tcMar>
              <w:top w:type="dxa" w:w="100"/>
              <w:left w:type="dxa" w:w="180"/>
              <w:bottom w:type="dxa" w:w="100"/>
              <w:right w:type="dxa" w:w="180"/>
            </w:tcMar>
          </w:tcPr>
          <w:p>
            <w:pPr>
              <w:spacing w:after="0" w:before="0"/>
            </w:pPr>
            <w:r>
              <w:rPr>
                <w:rFonts w:ascii="Arial" w:cs="Arial" w:eastAsia="Arial" w:hAnsi="Arial"/>
                <w:b/>
                <w:bCs/>
                <w:color w:val="1D7A6B"/>
                <w:sz w:val="20"/>
                <w:szCs w:val="20"/>
              </w:rPr>
              <w:t xml:space="preserve">Overflow volume:  </w:t>
            </w:r>
            <w:r>
              <w:rPr>
                <w:rFonts w:ascii="Courier New" w:cs="Courier New" w:eastAsia="Courier New" w:hAnsi="Courier New"/>
                <w:color w:val="1B3A6B"/>
                <w:sz w:val="20"/>
                <w:szCs w:val="20"/>
              </w:rPr>
              <w:t xml:space="preserve">overflow_m3 = max(0, total_peak_m3 − available_m3)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D7A6B" w:sz="8"/>
              <w:left w:val="single" w:color="1D7A6B" w:sz="12"/>
              <w:bottom w:val="single" w:color="1D7A6B" w:sz="4"/>
              <w:right w:val="none" w:color="FFFFFF" w:sz="0"/>
            </w:tcBorders>
            <w:shd w:fill="E6F4F1" w:val="clear"/>
            <w:tcMar>
              <w:top w:type="dxa" w:w="100"/>
              <w:left w:type="dxa" w:w="180"/>
              <w:bottom w:type="dxa" w:w="100"/>
              <w:right w:type="dxa" w:w="180"/>
            </w:tcMar>
          </w:tcPr>
          <w:p>
            <w:pPr>
              <w:spacing w:after="0" w:before="0"/>
            </w:pPr>
            <w:r>
              <w:rPr>
                <w:rFonts w:ascii="Arial" w:cs="Arial" w:eastAsia="Arial" w:hAnsi="Arial"/>
                <w:b/>
                <w:bCs/>
                <w:color w:val="1D7A6B"/>
                <w:sz w:val="20"/>
                <w:szCs w:val="20"/>
              </w:rPr>
              <w:t xml:space="preserve">Overflow penalty cost:  </w:t>
            </w:r>
            <w:r>
              <w:rPr>
                <w:rFonts w:ascii="Courier New" w:cs="Courier New" w:eastAsia="Courier New" w:hAnsi="Courier New"/>
                <w:color w:val="1B3A6B"/>
                <w:sz w:val="20"/>
                <w:szCs w:val="20"/>
              </w:rPr>
              <w:t xml:space="preserve">overflow_penalty_cost = overflow_m3 × $150 per m³</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20"/>
              <w:bottom w:val="single" w:color="1B3A6B" w:sz="6"/>
              <w:right w:val="none" w:color="FFFFFF" w:sz="0"/>
            </w:tcBorders>
            <w:shd w:fill="EEF4FB" w:val="clear"/>
            <w:tcMar>
              <w:top w:type="dxa" w:w="100"/>
              <w:left w:type="dxa" w:w="200"/>
              <w:bottom w:type="dxa" w:w="100"/>
              <w:right w:type="dxa" w:w="180"/>
            </w:tcMar>
          </w:tcPr>
          <w:p>
            <w:pPr>
              <w:spacing w:after="60" w:before="0"/>
            </w:pPr>
            <w:r>
              <w:rPr>
                <w:rFonts w:ascii="Arial" w:cs="Arial" w:eastAsia="Arial" w:hAnsi="Arial"/>
                <w:b/>
                <w:bCs/>
                <w:color w:val="1B3A6B"/>
                <w:sz w:val="22"/>
                <w:szCs w:val="22"/>
              </w:rPr>
              <w:t xml:space="preserve">Overflow penalty</w:t>
            </w:r>
          </w:p>
          <w:p>
            <w:pPr>
              <w:spacing w:after="0" w:before="0"/>
            </w:pPr>
            <w:r>
              <w:rPr>
                <w:rFonts w:ascii="Arial" w:cs="Arial" w:eastAsia="Arial" w:hAnsi="Arial"/>
                <w:color w:val="000000"/>
                <w:sz w:val="21"/>
                <w:szCs w:val="21"/>
              </w:rPr>
              <w:t xml:space="preserve">If the simulation projects that peak inventory across all parts will exceed available warehouse space, an overflow penalty of $150 per excess cubic metre is added to both the total cost and total penalty KPI tiles. This incentivizes the selection of vendors with smaller MOQs and faster lead times who enable leaner inventory.</w:t>
            </w:r>
          </w:p>
        </w:tc>
      </w:tr>
    </w:tbl>
    <w:p>
      <w:pPr>
        <w:pStyle w:val="Heading2"/>
        <w:spacing w:after="120" w:before="320"/>
      </w:pPr>
      <w:r>
        <w:rPr>
          <w:rFonts w:ascii="Arial" w:cs="Arial" w:eastAsia="Arial" w:hAnsi="Arial"/>
          <w:b/>
          <w:bCs/>
          <w:color w:val="1D7A6B"/>
          <w:sz w:val="28"/>
          <w:szCs w:val="28"/>
        </w:rPr>
        <w:t xml:space="preserve">7.6  Dynamic Vendor Assignment</w:t>
      </w:r>
    </w:p>
    <w:p>
      <w:pPr>
        <w:spacing w:after="80" w:before="80"/>
        <w:jc w:val="left"/>
      </w:pPr>
      <w:r>
        <w:rPr>
          <w:rFonts w:ascii="Arial" w:cs="Arial" w:eastAsia="Arial" w:hAnsi="Arial"/>
          <w:b w:val="false"/>
          <w:bCs w:val="false"/>
          <w:i w:val="false"/>
          <w:iCs w:val="false"/>
          <w:color w:val="000000"/>
          <w:sz w:val="22"/>
          <w:szCs w:val="22"/>
        </w:rPr>
        <w:t xml:space="preserve">When a scenario is selected in the dashboard, the simulation must re-run with vendors chosen according to the new scorecard ranking, not the static preferred_vendor baseline. This is achieved through:</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w:t>
            </w:r>
          </w:p>
        </w:tc>
        <w:tc>
          <w:tcPr>
            <w:tcW w:type="dxa" w:w="61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Logic</w:t>
            </w:r>
          </w:p>
        </w:tc>
      </w:tr>
      <w:tr>
        <w:tc>
          <w:tcPr>
            <w:tcW w:type="dxa" w:w="32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_build_vendor_override(ranked_names)</w:t>
            </w:r>
          </w:p>
        </w:tc>
        <w:tc>
          <w:tcPr>
            <w:tcW w:type="dxa" w:w="61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For each part, calls get_best_vendor_for_part() to find the highest-ranked vendor that actually supplies that part in the raw data</w:t>
            </w:r>
          </w:p>
        </w:tc>
      </w:tr>
      <w:tr>
        <w:tc>
          <w:tcPr>
            <w:tcW w:type="dxa" w:w="32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get_best_vendor_for_part(part, ranking)</w:t>
            </w:r>
          </w:p>
        </w:tc>
        <w:tc>
          <w:tcPr>
            <w:tcW w:type="dxa" w:w="616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Walks the ranked vendor list top-to-bottom; returns the first vendor present in _PART_VENDOR_MAP for that part. Falls back to preferred_vendor if none qualify.</w:t>
            </w:r>
          </w:p>
        </w:tc>
      </w:tr>
      <w:tr>
        <w:tc>
          <w:tcPr>
            <w:tcW w:type="dxa" w:w="32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simulate_procurement(vendor_override=...)</w:t>
            </w:r>
          </w:p>
        </w:tc>
        <w:tc>
          <w:tcPr>
            <w:tcW w:type="dxa" w:w="61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Uses the override dict {part_name: vendor_name} instead of preferred_vendor when sampling lead times, costs, and penalty rates</w:t>
            </w:r>
          </w:p>
        </w:tc>
      </w:tr>
    </w:tbl>
    <w:p>
      <w:pPr>
        <w:spacing w:after="40" w:before="40"/>
      </w:pPr>
      <w:r>
        <w:t xml:space="preserve"/>
      </w:r>
    </w:p>
    <w:p>
      <w:pPr>
        <w:spacing w:after="80" w:before="80"/>
        <w:jc w:val="left"/>
      </w:pPr>
      <w:r>
        <w:rPr>
          <w:rFonts w:ascii="Arial" w:cs="Arial" w:eastAsia="Arial" w:hAnsi="Arial"/>
          <w:b w:val="false"/>
          <w:bCs w:val="false"/>
          <w:i w:val="false"/>
          <w:iCs w:val="false"/>
          <w:color w:val="000000"/>
          <w:sz w:val="22"/>
          <w:szCs w:val="22"/>
        </w:rPr>
        <w:t xml:space="preserve">This mechanism ensures that changing pillar weights in the dashboard actually changes which vendor is used in the simulation, so all output KPI tiles (cost, CO₂, utilization, penalty) respond correctly to scenario selection.</w:t>
      </w:r>
    </w:p>
    <w:p>
      <w:r>
        <w:br w:type="page"/>
      </w:r>
    </w:p>
    <w:p>
      <w:pPr>
        <w:pStyle w:val="Heading1"/>
        <w:pBdr>
          <w:bottom w:val="single" w:color="1B3A6B" w:sz="8" w:space="4"/>
        </w:pBdr>
        <w:spacing w:after="160" w:before="400"/>
      </w:pPr>
      <w:r>
        <w:rPr>
          <w:rFonts w:ascii="Arial" w:cs="Arial" w:eastAsia="Arial" w:hAnsi="Arial"/>
          <w:b/>
          <w:bCs/>
          <w:color w:val="1B3A6B"/>
          <w:sz w:val="36"/>
          <w:szCs w:val="36"/>
        </w:rPr>
        <w:t xml:space="preserve">8.  End-to-End Calculation Summary</w:t>
      </w:r>
    </w:p>
    <w:p>
      <w:pPr>
        <w:spacing w:after="80" w:before="80"/>
        <w:jc w:val="left"/>
      </w:pPr>
      <w:r>
        <w:rPr>
          <w:rFonts w:ascii="Arial" w:cs="Arial" w:eastAsia="Arial" w:hAnsi="Arial"/>
          <w:b w:val="false"/>
          <w:bCs w:val="false"/>
          <w:i w:val="false"/>
          <w:iCs w:val="false"/>
          <w:color w:val="000000"/>
          <w:sz w:val="22"/>
          <w:szCs w:val="22"/>
        </w:rPr>
        <w:t xml:space="preserve">The table below traces each dashboard output KPI tile back to the formula chain that produces it.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Dashboard KPI tile</w:t>
            </w:r>
          </w:p>
        </w:tc>
        <w:tc>
          <w:tcPr>
            <w:tcW w:type="dxa" w:w="63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Formula chain</w:t>
            </w:r>
          </w:p>
        </w:tc>
      </w:tr>
      <w:tr>
        <w:tc>
          <w:tcPr>
            <w:tcW w:type="dxa" w:w="30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Top vendor (composite score)</w:t>
            </w:r>
          </w:p>
        </w:tc>
        <w:tc>
          <w:tcPr>
            <w:tcW w:type="dxa" w:w="63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normalize(KPI1) → score_env → weighted composite with score_econ + score_soc</w:t>
            </w:r>
          </w:p>
        </w:tc>
      </w:tr>
      <w:tr>
        <w:tc>
          <w:tcPr>
            <w:tcW w:type="dxa" w:w="30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Total procurement cost ($)</w:t>
            </w:r>
          </w:p>
        </w:tc>
        <w:tc>
          <w:tcPr>
            <w:tcW w:type="dxa" w:w="636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avg_units × unit_total_cost → summed across parts + overflow_penalty</w:t>
            </w:r>
          </w:p>
        </w:tc>
      </w:tr>
      <w:tr>
        <w:tc>
          <w:tcPr>
            <w:tcW w:type="dxa" w:w="30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Warehouse utilization (%)</w:t>
            </w:r>
          </w:p>
        </w:tc>
        <w:tc>
          <w:tcPr>
            <w:tcW w:type="dxa" w:w="63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avg_peak_units × vol_m3 per part → sum ÷ available_m3 × 100</w:t>
            </w:r>
          </w:p>
        </w:tc>
      </w:tr>
      <w:tr>
        <w:tc>
          <w:tcPr>
            <w:tcW w:type="dxa" w:w="30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Total CO₂ (kg)</w:t>
            </w:r>
          </w:p>
        </w:tc>
        <w:tc>
          <w:tcPr>
            <w:tcW w:type="dxa" w:w="636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CO2_per_KG × weight × qty per row → summed per vendor → summed across all assigned vendors</w:t>
            </w:r>
          </w:p>
        </w:tc>
      </w:tr>
      <w:tr>
        <w:tc>
          <w:tcPr>
            <w:tcW w:type="dxa" w:w="30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Total penalty exposure ($)</w:t>
            </w:r>
          </w:p>
        </w:tc>
        <w:tc>
          <w:tcPr>
            <w:tcW w:type="dxa" w:w="63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penalty_cost_day × stockout_days per simulation → avg × 500 runs + overflow penalty</w:t>
            </w:r>
          </w:p>
        </w:tc>
      </w:tr>
      <w:tr>
        <w:tc>
          <w:tcPr>
            <w:tcW w:type="dxa" w:w="30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Stockout risk (%)</w:t>
            </w:r>
          </w:p>
        </w:tc>
        <w:tc>
          <w:tcPr>
            <w:tcW w:type="dxa" w:w="636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stockout_days ÷ (500 × 90) per part → shown in simulation detail table</w:t>
            </w:r>
          </w:p>
        </w:tc>
      </w:tr>
      <w:tr>
        <w:tc>
          <w:tcPr>
            <w:tcW w:type="dxa" w:w="300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Lead time (days)</w:t>
            </w:r>
          </w:p>
        </w:tc>
        <w:tc>
          <w:tcPr>
            <w:tcW w:type="dxa" w:w="6360"/>
            <w:tcBorders>
              <w:top w:val="single" w:color="C5D3E8" w:sz="4"/>
              <w:left w:val="single" w:color="C5D3E8" w:sz="4"/>
              <w:bottom w:val="single" w:color="C5D3E8" w:sz="4"/>
              <w:right w:val="single" w:color="C5D3E8" w:sz="4"/>
            </w:tcBorders>
            <w:shd w:fill="FFFFFF" w:val="clear"/>
            <w:tcMar>
              <w:top w:type="dxa" w:w="60"/>
              <w:left w:type="dxa" w:w="120"/>
              <w:bottom w:type="dxa" w:w="60"/>
              <w:right w:type="dxa" w:w="120"/>
            </w:tcMar>
          </w:tcPr>
          <w:p>
            <w:r>
              <w:rPr>
                <w:rFonts w:ascii="Arial" w:cs="Arial" w:eastAsia="Arial" w:hAnsi="Arial"/>
                <w:color w:val="000000"/>
                <w:sz w:val="20"/>
                <w:szCs w:val="20"/>
              </w:rPr>
              <w:t xml:space="preserve">Direct Excel column, mean ± std dev per vendor, displayed in chart 5</w:t>
            </w:r>
          </w:p>
        </w:tc>
      </w:tr>
      <w:tr>
        <w:tc>
          <w:tcPr>
            <w:tcW w:type="dxa" w:w="300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Social scores</w:t>
            </w:r>
          </w:p>
        </w:tc>
        <w:tc>
          <w:tcPr>
            <w:tcW w:type="dxa" w:w="6360"/>
            <w:tcBorders>
              <w:top w:val="single" w:color="C5D3E8" w:sz="4"/>
              <w:left w:val="single" w:color="C5D3E8" w:sz="4"/>
              <w:bottom w:val="single" w:color="C5D3E8" w:sz="4"/>
              <w:right w:val="single" w:color="C5D3E8" w:sz="4"/>
            </w:tcBorders>
            <w:shd w:fill="F5F8FC" w:val="clear"/>
            <w:tcMar>
              <w:top w:type="dxa" w:w="60"/>
              <w:left w:type="dxa" w:w="120"/>
              <w:bottom w:type="dxa" w:w="60"/>
              <w:right w:type="dxa" w:w="120"/>
            </w:tcMar>
          </w:tcPr>
          <w:p>
            <w:r>
              <w:rPr>
                <w:rFonts w:ascii="Arial" w:cs="Arial" w:eastAsia="Arial" w:hAnsi="Arial"/>
                <w:color w:val="000000"/>
                <w:sz w:val="20"/>
                <w:szCs w:val="20"/>
              </w:rPr>
              <w:t xml:space="preserve">Synthetic rule-based data → normalized → weighted social sub-scores → score_soc</w:t>
            </w:r>
          </w:p>
        </w:tc>
      </w:tr>
    </w:tbl>
    <w:p>
      <w:pPr>
        <w:spacing w:after="40" w:before="40"/>
      </w:pPr>
      <w:r>
        <w:t xml:space="preserve"/>
      </w:r>
    </w:p>
    <w:p>
      <w:pPr>
        <w:spacing w:after="40" w:before="40"/>
      </w:pPr>
      <w:r>
        <w:t xml:space="preserve"/>
      </w:r>
    </w:p>
    <w:p>
      <w:pPr>
        <w:pBdr>
          <w:bottom w:val="single" w:color="C5D3E8" w:sz="4" w:space="2"/>
        </w:pBdr>
        <w:spacing w:after="120" w:before="120"/>
      </w:pPr>
      <w:r>
        <w:rPr>
          <w:rFonts w:ascii="Arial" w:cs="Arial" w:eastAsia="Arial" w:hAnsi="Arial"/>
          <w:sz w:val="4"/>
          <w:szCs w:val="4"/>
        </w:rPr>
        <w:t xml:space="preserve"/>
      </w:r>
    </w:p>
    <w:p>
      <w:pPr>
        <w:spacing w:after="80" w:before="80"/>
        <w:jc w:val="left"/>
      </w:pPr>
      <w:r>
        <w:rPr>
          <w:rFonts w:ascii="Arial" w:cs="Arial" w:eastAsia="Arial" w:hAnsi="Arial"/>
          <w:b w:val="false"/>
          <w:bCs w:val="false"/>
          <w:i/>
          <w:iCs/>
          <w:color w:val="555555"/>
          <w:sz w:val="18"/>
          <w:szCs w:val="18"/>
        </w:rPr>
        <w:t xml:space="preserve">Document prepared by the NJ Transit FIFA 2026 Sustainability Working Group. All calculations reference source code files: vendor_data_v2.py, scorecard_v2.py, simulation_v2.py, dashboard_v2.py.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D7A6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2026-04-27T23:43:17.231Z</dcterms:created>
  <dcterms:modified xsi:type="dcterms:W3CDTF">2026-04-27T23:43:17.232Z</dcterms:modified>
</cp:coreProperties>
</file>

<file path=docProps/custom.xml><?xml version="1.0" encoding="utf-8"?>
<Properties xmlns="http://schemas.openxmlformats.org/officeDocument/2006/custom-properties" xmlns:vt="http://schemas.openxmlformats.org/officeDocument/2006/docPropsVTypes"/>
</file>