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https://www.kaggle.com/code/gpreda/cnn-with-tensorflow-keras-for-fashion-mnist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2025-06-16T15:31:35.133384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