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D50"/>
          <w:sz w:val="44"/>
          <w:szCs w:val="44"/>
        </w:rPr>
        <w:t xml:space="preserve">CUSHION</w:t>
      </w:r>
    </w:p>
    <w:p>
      <w:pPr>
        <w:spacing w:after="60"/>
      </w:pPr>
      <w:r>
        <w:rPr>
          <w:color w:val="333333"/>
          <w:sz w:val="26"/>
          <w:szCs w:val="26"/>
        </w:rPr>
        <w:t xml:space="preserve">Product Requirements — Component Breakdown</w:t>
      </w:r>
    </w:p>
    <w:p>
      <w:pPr>
        <w:pBdr>
          <w:bottom w:val="single" w:color="2F5D50" w:sz="12" w:space="4"/>
        </w:pBdr>
        <w:spacing w:after="300"/>
      </w:pPr>
      <w:r>
        <w:rPr>
          <w:i/>
          <w:iCs/>
          <w:color w:val="595959"/>
          <w:sz w:val="21"/>
          <w:szCs w:val="21"/>
        </w:rPr>
        <w:t xml:space="preserve">Turning every paycheck into a simple, personal plan</w:t>
      </w:r>
    </w:p>
    <w:p>
      <w:pPr>
        <w:pStyle w:val="Heading1"/>
        <w:pBdr>
          <w:bottom w:val="single" w:color="2F5D50" w:sz="6" w:space="4"/>
        </w:pBdr>
        <w:spacing w:after="160" w:before="320"/>
      </w:pPr>
      <w:r>
        <w:rPr>
          <w:b/>
          <w:bCs/>
          <w:color w:val="2F5D50"/>
          <w:sz w:val="30"/>
          <w:szCs w:val="30"/>
        </w:rPr>
        <w:t xml:space="preserve">Overview</w:t>
      </w:r>
    </w:p>
    <w:p>
      <w:pPr>
        <w:spacing w:after="140" w:line="300"/>
      </w:pPr>
      <w:r>
        <w:rPr>
          <w:sz w:val="22"/>
          <w:szCs w:val="22"/>
        </w:rPr>
        <w:t xml:space="preserve">Cushion helps first-time and early-career earners figure out what's safe to spend, save, and set aside from each paycheck — without needing to already understand budgeting or investing. This document breaks down each product component in detail: what it does, what it needs, and why it matters.</w:t>
      </w:r>
    </w:p>
    <w:p>
      <w:pPr>
        <w:pStyle w:val="Heading1"/>
        <w:pBdr>
          <w:bottom w:val="single" w:color="2F5D50" w:sz="6" w:space="4"/>
        </w:pBdr>
        <w:spacing w:after="160" w:before="320"/>
      </w:pPr>
      <w:r>
        <w:rPr>
          <w:b/>
          <w:bCs/>
          <w:color w:val="2F5D50"/>
          <w:sz w:val="30"/>
          <w:szCs w:val="30"/>
        </w:rPr>
        <w:t xml:space="preserve">MVP Components (Build Today)</w:t>
      </w:r>
    </w:p>
    <w:p>
      <w:pPr>
        <w:pStyle w:val="Heading2"/>
        <w:spacing w:after="40" w:before="300"/>
      </w:pPr>
      <w:r>
        <w:rPr>
          <w:b/>
          <w:bCs/>
          <w:color w:val="2F5D50"/>
          <w:sz w:val="26"/>
          <w:szCs w:val="26"/>
        </w:rPr>
        <w:t xml:space="preserve">1. </w:t>
      </w:r>
      <w:r>
        <w:rPr>
          <w:b/>
          <w:bCs/>
          <w:color w:val="1F1F1F"/>
          <w:sz w:val="26"/>
          <w:szCs w:val="26"/>
        </w:rPr>
        <w:t xml:space="preserve">Salary Plan</w:t>
      </w:r>
    </w:p>
    <w:p>
      <w:pPr>
        <w:spacing w:after="160"/>
      </w:pPr>
      <w:r>
        <w:rPr>
          <w:i/>
          <w:iCs/>
          <w:color w:val="595959"/>
          <w:sz w:val="21"/>
          <w:szCs w:val="21"/>
        </w:rPr>
        <w:t xml:space="preserve">The core input — everything else runs on this.</w:t>
      </w:r>
    </w:p>
    <w:p>
      <w:pPr>
        <w:spacing w:after="60" w:before="100"/>
      </w:pPr>
      <w:r>
        <w:rPr>
          <w:b/>
          <w:bCs/>
          <w:sz w:val="22"/>
          <w:szCs w:val="22"/>
        </w:rPr>
        <w:t xml:space="preserve">What the user provides</w:t>
      </w:r>
    </w:p>
    <w:p>
      <w:pPr>
        <w:pStyle w:val="ListParagraph"/>
        <w:numPr>
          <w:ilvl w:val="0"/>
          <w:numId w:val="2"/>
        </w:numPr>
        <w:spacing w:after="80" w:line="280"/>
      </w:pPr>
      <w:r>
        <w:rPr>
          <w:sz w:val="22"/>
          <w:szCs w:val="22"/>
        </w:rPr>
        <w:t xml:space="preserve">Monthly income (salary amount)</w:t>
      </w:r>
    </w:p>
    <w:p>
      <w:pPr>
        <w:pStyle w:val="ListParagraph"/>
        <w:numPr>
          <w:ilvl w:val="0"/>
          <w:numId w:val="2"/>
        </w:numPr>
        <w:spacing w:after="80" w:line="280"/>
      </w:pPr>
      <w:r>
        <w:rPr>
          <w:sz w:val="22"/>
          <w:szCs w:val="22"/>
        </w:rPr>
        <w:t xml:space="preserve">Fixed bills (rent, utilities, phone, subscriptions, EMIs)</w:t>
      </w:r>
    </w:p>
    <w:p>
      <w:pPr>
        <w:pStyle w:val="ListParagraph"/>
        <w:numPr>
          <w:ilvl w:val="0"/>
          <w:numId w:val="2"/>
        </w:numPr>
        <w:spacing w:after="80" w:line="280"/>
      </w:pPr>
      <w:r>
        <w:rPr>
          <w:sz w:val="22"/>
          <w:szCs w:val="22"/>
        </w:rPr>
        <w:t xml:space="preserve">Debt obligations (loan payments, credit card dues)</w:t>
      </w:r>
    </w:p>
    <w:p>
      <w:pPr>
        <w:pStyle w:val="ListParagraph"/>
        <w:numPr>
          <w:ilvl w:val="0"/>
          <w:numId w:val="2"/>
        </w:numPr>
        <w:spacing w:after="80" w:line="280"/>
      </w:pPr>
      <w:r>
        <w:rPr>
          <w:sz w:val="22"/>
          <w:szCs w:val="22"/>
        </w:rPr>
        <w:t xml:space="preserve">A savings goal or target — a specific amount or a purpose</w:t>
      </w:r>
    </w:p>
    <w:p>
      <w:pPr>
        <w:spacing w:after="60" w:before="100"/>
      </w:pPr>
      <w:r>
        <w:rPr>
          <w:b/>
          <w:bCs/>
          <w:sz w:val="22"/>
          <w:szCs w:val="22"/>
        </w:rPr>
        <w:t xml:space="preserve">What it does</w:t>
      </w:r>
    </w:p>
    <w:p>
      <w:pPr>
        <w:spacing w:after="140" w:line="300"/>
      </w:pPr>
      <w:r>
        <w:rPr>
          <w:sz w:val="22"/>
          <w:szCs w:val="22"/>
        </w:rPr>
        <w:t xml:space="preserve">Takes these raw numbers and structures them into categories — answering "where does my money need to go before I even think about spending it freely?" This is a one-time or monthly-recurring setup step that feeds every other feature below.</w:t>
      </w:r>
    </w:p>
    <w:p>
      <w:pPr>
        <w:spacing w:after="60" w:before="100"/>
      </w:pPr>
      <w:r>
        <w:rPr>
          <w:b/>
          <w:bCs/>
          <w:sz w:val="22"/>
          <w:szCs w:val="22"/>
        </w:rPr>
        <w:t xml:space="preserve">Why it matters</w:t>
      </w:r>
    </w:p>
    <w:p>
      <w:pPr>
        <w:spacing w:after="140" w:line="300"/>
      </w:pPr>
      <w:r>
        <w:rPr>
          <w:sz w:val="22"/>
          <w:szCs w:val="22"/>
        </w:rPr>
        <w:t xml:space="preserve">Most young earners don't separate "money I owe" from "money I can use." This forces that separation upfront.</w:t>
      </w:r>
    </w:p>
    <w:p>
      <w:pPr>
        <w:pStyle w:val="Heading2"/>
        <w:spacing w:after="40" w:before="300"/>
      </w:pPr>
      <w:r>
        <w:rPr>
          <w:b/>
          <w:bCs/>
          <w:color w:val="2F5D50"/>
          <w:sz w:val="26"/>
          <w:szCs w:val="26"/>
        </w:rPr>
        <w:t xml:space="preserve">2. </w:t>
      </w:r>
      <w:r>
        <w:rPr>
          <w:b/>
          <w:bCs/>
          <w:color w:val="1F1F1F"/>
          <w:sz w:val="26"/>
          <w:szCs w:val="26"/>
        </w:rPr>
        <w:t xml:space="preserve">Safe-to-Save Calculation</w:t>
      </w:r>
    </w:p>
    <w:p>
      <w:pPr>
        <w:spacing w:after="160"/>
      </w:pPr>
      <w:r>
        <w:rPr>
          <w:i/>
          <w:iCs/>
          <w:color w:val="595959"/>
          <w:sz w:val="21"/>
          <w:szCs w:val="21"/>
        </w:rPr>
        <w:t xml:space="preserve">The headline feature — the number the whole app is built around.</w:t>
      </w:r>
    </w:p>
    <w:p>
      <w:pPr>
        <w:spacing w:after="60" w:before="100"/>
      </w:pPr>
      <w:r>
        <w:rPr>
          <w:b/>
          <w:bCs/>
          <w:sz w:val="22"/>
          <w:szCs w:val="22"/>
        </w:rPr>
        <w:t xml:space="preserve">What it does</w:t>
      </w:r>
    </w:p>
    <w:p>
      <w:pPr>
        <w:spacing w:after="140" w:line="300"/>
      </w:pPr>
      <w:r>
        <w:rPr>
          <w:sz w:val="22"/>
          <w:szCs w:val="22"/>
        </w:rPr>
        <w:t xml:space="preserve">After subtracting fixed bills and debt from income, it calculates how much the user can realistically set aside without jeopardizing their essentials. The output is phrased as a clear, human sentence: "You can set aside ₹3,000 this month without touching essentials."</w:t>
      </w:r>
    </w:p>
    <w:p>
      <w:pPr>
        <w:spacing w:after="60" w:before="100"/>
      </w:pPr>
      <w:r>
        <w:rPr>
          <w:b/>
          <w:bCs/>
          <w:sz w:val="22"/>
          <w:szCs w:val="22"/>
        </w:rPr>
        <w:t xml:space="preserve">Why it's not just income minus expenses</w:t>
      </w:r>
    </w:p>
    <w:p>
      <w:pPr>
        <w:spacing w:after="140" w:line="300"/>
      </w:pPr>
      <w:r>
        <w:rPr>
          <w:sz w:val="22"/>
          <w:szCs w:val="22"/>
        </w:rPr>
        <w:t xml:space="preserve">It needs to account for timing (has the bill been paid yet this cycle?), a buffer for irregular costs, and probably a minimum cash buffer left in checking. The output should feel like a confident recommendation, not a spreadsheet.</w:t>
      </w:r>
    </w:p>
    <w:p>
      <w:pPr>
        <w:spacing w:after="60" w:before="100"/>
      </w:pPr>
      <w:r>
        <w:rPr>
          <w:b/>
          <w:bCs/>
          <w:sz w:val="22"/>
          <w:szCs w:val="22"/>
        </w:rPr>
        <w:t xml:space="preserve">Why it matters</w:t>
      </w:r>
    </w:p>
    <w:p>
      <w:pPr>
        <w:spacing w:after="140" w:line="300"/>
      </w:pPr>
      <w:r>
        <w:rPr>
          <w:sz w:val="22"/>
          <w:szCs w:val="22"/>
        </w:rPr>
        <w:t xml:space="preserve">This directly solves the anxiety problem — the user no longer has to guess whether spending ₹500 today is "safe."</w:t>
      </w:r>
    </w:p>
    <w:p>
      <w:pPr>
        <w:pStyle w:val="Heading2"/>
        <w:spacing w:after="40" w:before="300"/>
      </w:pPr>
      <w:r>
        <w:rPr>
          <w:b/>
          <w:bCs/>
          <w:color w:val="2F5D50"/>
          <w:sz w:val="26"/>
          <w:szCs w:val="26"/>
        </w:rPr>
        <w:t xml:space="preserve">3. </w:t>
      </w:r>
      <w:r>
        <w:rPr>
          <w:b/>
          <w:bCs/>
          <w:color w:val="1F1F1F"/>
          <w:sz w:val="26"/>
          <w:szCs w:val="26"/>
        </w:rPr>
        <w:t xml:space="preserve">Emergency Fund Tracker</w:t>
      </w:r>
    </w:p>
    <w:p>
      <w:pPr>
        <w:spacing w:after="160"/>
      </w:pPr>
      <w:r>
        <w:rPr>
          <w:i/>
          <w:iCs/>
          <w:color w:val="595959"/>
          <w:sz w:val="21"/>
          <w:szCs w:val="21"/>
        </w:rPr>
        <w:t xml:space="preserve">A dedicated, visible tracker for a rainy-day fund.</w:t>
      </w:r>
    </w:p>
    <w:p>
      <w:pPr>
        <w:spacing w:after="60" w:before="100"/>
      </w:pPr>
      <w:r>
        <w:rPr>
          <w:b/>
          <w:bCs/>
          <w:sz w:val="22"/>
          <w:szCs w:val="22"/>
        </w:rPr>
        <w:t xml:space="preserve">Key design constraint</w:t>
      </w:r>
    </w:p>
    <w:p>
      <w:pPr>
        <w:spacing w:after="140" w:line="300"/>
      </w:pPr>
      <w:r>
        <w:rPr>
          <w:sz w:val="22"/>
          <w:szCs w:val="22"/>
        </w:rPr>
        <w:t xml:space="preserve">This money is always kept as cash — never invested, never exposed to market risk. That's a deliberate product decision, not a technical limitation.</w:t>
      </w:r>
    </w:p>
    <w:p>
      <w:pPr>
        <w:spacing w:after="60" w:before="100"/>
      </w:pPr>
      <w:r>
        <w:rPr>
          <w:b/>
          <w:bCs/>
          <w:sz w:val="22"/>
          <w:szCs w:val="22"/>
        </w:rPr>
        <w:t xml:space="preserve">What it shows</w:t>
      </w:r>
    </w:p>
    <w:p>
      <w:pPr>
        <w:pStyle w:val="ListParagraph"/>
        <w:numPr>
          <w:ilvl w:val="0"/>
          <w:numId w:val="2"/>
        </w:numPr>
        <w:spacing w:after="80" w:line="280"/>
      </w:pPr>
      <w:r>
        <w:rPr>
          <w:sz w:val="22"/>
          <w:szCs w:val="22"/>
        </w:rPr>
        <w:t xml:space="preserve">Current balance</w:t>
      </w:r>
    </w:p>
    <w:p>
      <w:pPr>
        <w:pStyle w:val="ListParagraph"/>
        <w:numPr>
          <w:ilvl w:val="0"/>
          <w:numId w:val="2"/>
        </w:numPr>
        <w:spacing w:after="80" w:line="280"/>
      </w:pPr>
      <w:r>
        <w:rPr>
          <w:sz w:val="22"/>
          <w:szCs w:val="22"/>
        </w:rPr>
        <w:t xml:space="preserve">Progress toward a target (e.g. "3 months of expenses")</w:t>
      </w:r>
    </w:p>
    <w:p>
      <w:pPr>
        <w:pStyle w:val="ListParagraph"/>
        <w:numPr>
          <w:ilvl w:val="0"/>
          <w:numId w:val="2"/>
        </w:numPr>
        <w:spacing w:after="80" w:line="280"/>
      </w:pPr>
      <w:r>
        <w:rPr>
          <w:sz w:val="22"/>
          <w:szCs w:val="22"/>
        </w:rPr>
        <w:t xml:space="preserve">Growth over time as the safe-to-save amount gets allocated to it</w:t>
      </w:r>
    </w:p>
    <w:p>
      <w:pPr>
        <w:spacing w:after="60" w:before="100"/>
      </w:pPr>
      <w:r>
        <w:rPr>
          <w:b/>
          <w:bCs/>
          <w:sz w:val="22"/>
          <w:szCs w:val="22"/>
        </w:rPr>
        <w:t xml:space="preserve">Why it matters</w:t>
      </w:r>
    </w:p>
    <w:p>
      <w:pPr>
        <w:spacing w:after="140" w:line="300"/>
      </w:pPr>
      <w:r>
        <w:rPr>
          <w:sz w:val="22"/>
          <w:szCs w:val="22"/>
        </w:rPr>
        <w:t xml:space="preserve">Separates "money for emergencies" from "money for goals" so users aren't tempted to raid one for the other, and reinforces that this pocket is never at risk.</w:t>
      </w:r>
    </w:p>
    <w:p>
      <w:pPr>
        <w:pStyle w:val="Heading2"/>
        <w:spacing w:after="40" w:before="300"/>
      </w:pPr>
      <w:r>
        <w:rPr>
          <w:b/>
          <w:bCs/>
          <w:color w:val="2F5D50"/>
          <w:sz w:val="26"/>
          <w:szCs w:val="26"/>
        </w:rPr>
        <w:t xml:space="preserve">4. </w:t>
      </w:r>
      <w:r>
        <w:rPr>
          <w:b/>
          <w:bCs/>
          <w:color w:val="1F1F1F"/>
          <w:sz w:val="26"/>
          <w:szCs w:val="26"/>
        </w:rPr>
        <w:t xml:space="preserve">Goal Pockets</w:t>
      </w:r>
    </w:p>
    <w:p>
      <w:pPr>
        <w:spacing w:after="160"/>
      </w:pPr>
      <w:r>
        <w:rPr>
          <w:i/>
          <w:iCs/>
          <w:color w:val="595959"/>
          <w:sz w:val="21"/>
          <w:szCs w:val="21"/>
        </w:rPr>
        <w:t xml:space="preserve">Named, separate buckets for specific savings goals.</w:t>
      </w:r>
    </w:p>
    <w:p>
      <w:pPr>
        <w:spacing w:after="60" w:before="100"/>
      </w:pPr>
      <w:r>
        <w:rPr>
          <w:b/>
          <w:bCs/>
          <w:sz w:val="22"/>
          <w:szCs w:val="22"/>
        </w:rPr>
        <w:t xml:space="preserve">What it does</w:t>
      </w:r>
    </w:p>
    <w:p>
      <w:pPr>
        <w:spacing w:after="140" w:line="300"/>
      </w:pPr>
      <w:r>
        <w:rPr>
          <w:sz w:val="22"/>
          <w:szCs w:val="22"/>
        </w:rPr>
        <w:t xml:space="preserve">Lets users allocate portions of their safe-to-save amount toward multiple named goals simultaneously — rent deposit, a trip, a laptop, or anything else — each with its own progress tracker (e.g. "₹12,000 / ₹50,000 toward Laptop").</w:t>
      </w:r>
    </w:p>
    <w:p>
      <w:pPr>
        <w:spacing w:after="60" w:before="100"/>
      </w:pPr>
      <w:r>
        <w:rPr>
          <w:b/>
          <w:bCs/>
          <w:sz w:val="22"/>
          <w:szCs w:val="22"/>
        </w:rPr>
        <w:t xml:space="preserve">Why it's separate from the emergency fund</w:t>
      </w:r>
    </w:p>
    <w:p>
      <w:pPr>
        <w:spacing w:after="140" w:line="300"/>
      </w:pPr>
      <w:r>
        <w:rPr>
          <w:sz w:val="22"/>
          <w:szCs w:val="22"/>
        </w:rPr>
        <w:t xml:space="preserve">Goals are discretionary and have an end point; the emergency fund is indefinite and untouchable except in true emergencies. Mixing them defeats the purpose of having a plan at all.</w:t>
      </w:r>
    </w:p>
    <w:p>
      <w:pPr>
        <w:spacing w:after="60" w:before="100"/>
      </w:pPr>
      <w:r>
        <w:rPr>
          <w:b/>
          <w:bCs/>
          <w:sz w:val="22"/>
          <w:szCs w:val="22"/>
        </w:rPr>
        <w:t xml:space="preserve">Why it matters</w:t>
      </w:r>
    </w:p>
    <w:p>
      <w:pPr>
        <w:spacing w:after="140" w:line="300"/>
      </w:pPr>
      <w:r>
        <w:rPr>
          <w:sz w:val="22"/>
          <w:szCs w:val="22"/>
        </w:rPr>
        <w:t xml:space="preserve">Turns saving into something concrete and motivating rather than an abstract number sitting in a bank account.</w:t>
      </w:r>
    </w:p>
    <w:p>
      <w:pPr>
        <w:pStyle w:val="Heading2"/>
        <w:spacing w:after="40" w:before="300"/>
      </w:pPr>
      <w:r>
        <w:rPr>
          <w:b/>
          <w:bCs/>
          <w:color w:val="2F5D50"/>
          <w:sz w:val="26"/>
          <w:szCs w:val="26"/>
        </w:rPr>
        <w:t xml:space="preserve">5. </w:t>
      </w:r>
      <w:r>
        <w:rPr>
          <w:b/>
          <w:bCs/>
          <w:color w:val="1F1F1F"/>
          <w:sz w:val="26"/>
          <w:szCs w:val="26"/>
        </w:rPr>
        <w:t xml:space="preserve">Withdrawal Explainer</w:t>
      </w:r>
    </w:p>
    <w:p>
      <w:pPr>
        <w:spacing w:after="160"/>
      </w:pPr>
      <w:r>
        <w:rPr>
          <w:i/>
          <w:iCs/>
          <w:color w:val="595959"/>
          <w:sz w:val="21"/>
          <w:szCs w:val="21"/>
        </w:rPr>
        <w:t xml:space="preserve">A confirmation screen shown before any withdrawal is finalized.</w:t>
      </w:r>
    </w:p>
    <w:p>
      <w:pPr>
        <w:spacing w:after="60" w:before="100"/>
      </w:pPr>
      <w:r>
        <w:rPr>
          <w:b/>
          <w:bCs/>
          <w:sz w:val="22"/>
          <w:szCs w:val="22"/>
        </w:rPr>
        <w:t xml:space="preserve">Appears before withdrawing from</w:t>
      </w:r>
    </w:p>
    <w:p>
      <w:pPr>
        <w:pStyle w:val="ListParagraph"/>
        <w:numPr>
          <w:ilvl w:val="0"/>
          <w:numId w:val="2"/>
        </w:numPr>
        <w:spacing w:after="80" w:line="280"/>
      </w:pPr>
      <w:r>
        <w:rPr>
          <w:sz w:val="22"/>
          <w:szCs w:val="22"/>
        </w:rPr>
        <w:t xml:space="preserve">A goal pocket</w:t>
      </w:r>
    </w:p>
    <w:p>
      <w:pPr>
        <w:pStyle w:val="ListParagraph"/>
        <w:numPr>
          <w:ilvl w:val="0"/>
          <w:numId w:val="2"/>
        </w:numPr>
        <w:spacing w:after="80" w:line="280"/>
      </w:pPr>
      <w:r>
        <w:rPr>
          <w:sz w:val="22"/>
          <w:szCs w:val="22"/>
        </w:rPr>
        <w:t xml:space="preserve">The emergency fund</w:t>
      </w:r>
    </w:p>
    <w:p>
      <w:pPr>
        <w:pStyle w:val="ListParagraph"/>
        <w:numPr>
          <w:ilvl w:val="0"/>
          <w:numId w:val="2"/>
        </w:numPr>
        <w:spacing w:after="80" w:line="280"/>
      </w:pPr>
      <w:r>
        <w:rPr>
          <w:sz w:val="22"/>
          <w:szCs w:val="22"/>
        </w:rPr>
        <w:t xml:space="preserve">An investment (if Phase 2 is built)</w:t>
      </w:r>
    </w:p>
    <w:p>
      <w:pPr>
        <w:spacing w:after="60" w:before="100"/>
      </w:pPr>
      <w:r>
        <w:rPr>
          <w:b/>
          <w:bCs/>
          <w:sz w:val="22"/>
          <w:szCs w:val="22"/>
        </w:rPr>
        <w:t xml:space="preserve">What it must show, before the user confirms</w:t>
      </w:r>
    </w:p>
    <w:p>
      <w:pPr>
        <w:pStyle w:val="ListParagraph"/>
        <w:numPr>
          <w:ilvl w:val="0"/>
          <w:numId w:val="2"/>
        </w:numPr>
        <w:spacing w:after="80" w:line="280"/>
      </w:pPr>
      <w:r>
        <w:rPr>
          <w:sz w:val="22"/>
          <w:szCs w:val="22"/>
        </w:rPr>
        <w:t xml:space="preserve">Expected time — how long the money will actually take to land back in their account</w:t>
      </w:r>
    </w:p>
    <w:p>
      <w:pPr>
        <w:pStyle w:val="ListParagraph"/>
        <w:numPr>
          <w:ilvl w:val="0"/>
          <w:numId w:val="2"/>
        </w:numPr>
        <w:spacing w:after="80" w:line="280"/>
      </w:pPr>
      <w:r>
        <w:rPr>
          <w:sz w:val="22"/>
          <w:szCs w:val="22"/>
        </w:rPr>
        <w:t xml:space="preserve">Charges — any fees or penalties for withdrawing</w:t>
      </w:r>
    </w:p>
    <w:p>
      <w:pPr>
        <w:pStyle w:val="ListParagraph"/>
        <w:numPr>
          <w:ilvl w:val="0"/>
          <w:numId w:val="2"/>
        </w:numPr>
        <w:spacing w:after="80" w:line="280"/>
      </w:pPr>
      <w:r>
        <w:rPr>
          <w:sz w:val="22"/>
          <w:szCs w:val="22"/>
        </w:rPr>
        <w:t xml:space="preserve">Value volatility — whether the amount they get back could be more or less than what they put in</w:t>
      </w:r>
    </w:p>
    <w:p>
      <w:pPr>
        <w:spacing w:after="60" w:before="100"/>
      </w:pPr>
      <w:r>
        <w:rPr>
          <w:b/>
          <w:bCs/>
          <w:sz w:val="22"/>
          <w:szCs w:val="22"/>
        </w:rPr>
        <w:t xml:space="preserve">Why it matters</w:t>
      </w:r>
    </w:p>
    <w:p>
      <w:pPr>
        <w:spacing w:after="140" w:line="300"/>
      </w:pPr>
      <w:r>
        <w:rPr>
          <w:sz w:val="22"/>
          <w:szCs w:val="22"/>
        </w:rPr>
        <w:t xml:space="preserve">This is a trust and transparency feature. It stops users from being surprised by delays, fees, or losses — the explainer front-loads all of that before the action is irreversible.</w:t>
      </w:r>
    </w:p>
    <w:p>
      <w:pPr>
        <w:pStyle w:val="Heading1"/>
        <w:pBdr>
          <w:bottom w:val="single" w:color="2F5D50" w:sz="6" w:space="4"/>
        </w:pBdr>
        <w:spacing w:after="160" w:before="320"/>
      </w:pPr>
      <w:r>
        <w:rPr>
          <w:b/>
          <w:bCs/>
          <w:color w:val="2F5D50"/>
          <w:sz w:val="30"/>
          <w:szCs w:val="30"/>
        </w:rPr>
        <w:t xml:space="preserve">Phase 2 (Only If Time Allows)</w:t>
      </w:r>
    </w:p>
    <w:p>
      <w:pPr>
        <w:pStyle w:val="Heading2"/>
        <w:spacing w:after="40" w:before="300"/>
      </w:pPr>
      <w:r>
        <w:rPr>
          <w:b/>
          <w:bCs/>
          <w:color w:val="2F5D50"/>
          <w:sz w:val="26"/>
          <w:szCs w:val="26"/>
        </w:rPr>
        <w:t xml:space="preserve">6. </w:t>
      </w:r>
      <w:r>
        <w:rPr>
          <w:b/>
          <w:bCs/>
          <w:color w:val="1F1F1F"/>
          <w:sz w:val="26"/>
          <w:szCs w:val="26"/>
        </w:rPr>
        <w:t xml:space="preserve">Invest a % ("Growth Money" Pocket)</w:t>
      </w:r>
    </w:p>
    <w:p>
      <w:pPr>
        <w:spacing w:after="160"/>
      </w:pPr>
      <w:r>
        <w:rPr>
          <w:i/>
          <w:iCs/>
          <w:color w:val="595959"/>
          <w:sz w:val="21"/>
          <w:szCs w:val="21"/>
        </w:rPr>
        <w:t xml:space="preserve">Optional investing, routed entirely through a regulated partner.</w:t>
      </w:r>
    </w:p>
    <w:p>
      <w:pPr>
        <w:pStyle w:val="ListParagraph"/>
        <w:numPr>
          <w:ilvl w:val="0"/>
          <w:numId w:val="2"/>
        </w:numPr>
        <w:spacing w:after="80" w:line="280"/>
      </w:pPr>
      <w:r>
        <w:rPr>
          <w:sz w:val="22"/>
          <w:szCs w:val="22"/>
        </w:rPr>
        <w:t xml:space="preserve">User opts a percentage of savings into a "Growth Money" pocket via a regulated partner (bank / SEBI broker / AMC / RTA)</w:t>
      </w:r>
    </w:p>
    <w:p>
      <w:pPr>
        <w:pStyle w:val="ListParagraph"/>
        <w:numPr>
          <w:ilvl w:val="0"/>
          <w:numId w:val="2"/>
        </w:numPr>
        <w:spacing w:after="80" w:line="280"/>
      </w:pPr>
      <w:r>
        <w:rPr>
          <w:sz w:val="22"/>
          <w:szCs w:val="22"/>
        </w:rPr>
        <w:t xml:space="preserve">Requires an e-signature acknowledging a lock-in period before that slice can be withdrawn</w:t>
      </w:r>
    </w:p>
    <w:p>
      <w:pPr>
        <w:pStyle w:val="ListParagraph"/>
        <w:numPr>
          <w:ilvl w:val="0"/>
          <w:numId w:val="2"/>
        </w:numPr>
        <w:spacing w:after="80" w:line="280"/>
      </w:pPr>
      <w:r>
        <w:rPr>
          <w:sz w:val="22"/>
          <w:szCs w:val="22"/>
        </w:rPr>
        <w:t xml:space="preserve">Cushion never touches or pools the funds — purely a pass-through experience</w:t>
      </w:r>
    </w:p>
    <w:p>
      <w:pPr>
        <w:pStyle w:val="ListParagraph"/>
        <w:numPr>
          <w:ilvl w:val="0"/>
          <w:numId w:val="2"/>
        </w:numPr>
        <w:spacing w:after="80" w:line="280"/>
      </w:pPr>
      <w:r>
        <w:rPr>
          <w:sz w:val="22"/>
          <w:szCs w:val="22"/>
        </w:rPr>
        <w:t xml:space="preserve">No specific fund recommendations are made — that requires SEBI investment-adviser registration, which is out of scope</w:t>
      </w:r>
    </w:p>
    <w:p>
      <w:pPr>
        <w:pStyle w:val="Heading2"/>
        <w:spacing w:after="40" w:before="300"/>
      </w:pPr>
      <w:r>
        <w:rPr>
          <w:b/>
          <w:bCs/>
          <w:color w:val="2F5D50"/>
          <w:sz w:val="26"/>
          <w:szCs w:val="26"/>
        </w:rPr>
        <w:t xml:space="preserve">7. </w:t>
      </w:r>
      <w:r>
        <w:rPr>
          <w:b/>
          <w:bCs/>
          <w:color w:val="1F1F1F"/>
          <w:sz w:val="26"/>
          <w:szCs w:val="26"/>
        </w:rPr>
        <w:t xml:space="preserve">Chatbot Assistant</w:t>
      </w:r>
    </w:p>
    <w:p>
      <w:pPr>
        <w:spacing w:after="160"/>
      </w:pPr>
      <w:r>
        <w:rPr>
          <w:i/>
          <w:iCs/>
          <w:color w:val="595959"/>
          <w:sz w:val="21"/>
          <w:szCs w:val="21"/>
        </w:rPr>
        <w:t xml:space="preserve">On-demand help with budgeting questions.</w:t>
      </w:r>
    </w:p>
    <w:p>
      <w:pPr>
        <w:pStyle w:val="ListParagraph"/>
        <w:numPr>
          <w:ilvl w:val="0"/>
          <w:numId w:val="2"/>
        </w:numPr>
        <w:spacing w:after="80" w:line="280"/>
      </w:pPr>
      <w:r>
        <w:rPr>
          <w:sz w:val="22"/>
          <w:szCs w:val="22"/>
        </w:rPr>
        <w:t xml:space="preserve">Answers budgeting questions on demand</w:t>
      </w:r>
    </w:p>
    <w:p>
      <w:pPr>
        <w:pStyle w:val="ListParagraph"/>
        <w:numPr>
          <w:ilvl w:val="0"/>
          <w:numId w:val="2"/>
        </w:numPr>
        <w:spacing w:after="80" w:line="280"/>
      </w:pPr>
      <w:r>
        <w:rPr>
          <w:sz w:val="22"/>
          <w:szCs w:val="22"/>
        </w:rPr>
        <w:t xml:space="preserve">Explicitly not automatic — only triggers via a button click, never proactively</w:t>
      </w:r>
    </w:p>
    <w:p>
      <w:pPr>
        <w:pStyle w:val="ListParagraph"/>
        <w:numPr>
          <w:ilvl w:val="0"/>
          <w:numId w:val="2"/>
        </w:numPr>
        <w:spacing w:after="80" w:line="280"/>
      </w:pPr>
      <w:r>
        <w:rPr>
          <w:sz w:val="22"/>
          <w:szCs w:val="22"/>
        </w:rPr>
        <w:t xml:space="preserve">Keeps the assistant optional and lightweight for the MVP demo</w:t>
      </w:r>
    </w:p>
    <w:p>
      <w:pPr>
        <w:pStyle w:val="Heading1"/>
        <w:pBdr>
          <w:bottom w:val="single" w:color="2F5D50" w:sz="6" w:space="4"/>
        </w:pBdr>
        <w:spacing w:after="160" w:before="320"/>
      </w:pPr>
      <w:r>
        <w:rPr>
          <w:b/>
          <w:bCs/>
          <w:color w:val="2F5D50"/>
          <w:sz w:val="30"/>
          <w:szCs w:val="30"/>
        </w:rPr>
        <w:t xml:space="preserve">What Ties It Together</w:t>
      </w:r>
    </w:p>
    <w:p>
      <w:pPr>
        <w:spacing w:after="140" w:line="300"/>
      </w:pPr>
      <w:r>
        <w:rPr>
          <w:sz w:val="22"/>
          <w:szCs w:val="22"/>
        </w:rPr>
        <w:t xml:space="preserve">Salary Plan produces the numbers. Safe-to-Save tells the user what's free to use. Emergency Fund and Goal Pockets give that "safe" money somewhere structured to go. Withdrawal Explainer protects the user when they take money back out. Everything scopes tightly around never holding funds directly and never guaranteeing returns — which is what keeps Cushion out of regulatory territory it isn't licensed for.</w:t>
      </w:r>
    </w:p>
    <w:tbl>
      <w:tblPr>
        <w:tblW w:type="pct" w:w="100%"/>
        <w:tblBorders>
          <w:top w:val="single" w:color="2F5D50" w:sz="4"/>
          <w:left w:val="single" w:color="2F5D50" w:sz="4"/>
          <w:bottom w:val="single" w:color="2F5D50" w:sz="4"/>
          <w:right w:val="single" w:color="2F5D50" w:sz="4"/>
          <w:insideH w:val="none" w:color="FFFFFF" w:sz="0"/>
          <w:insideV w:val="none" w:color="FFFFFF" w:sz="0"/>
        </w:tblBorders>
      </w:tblPr>
      <w:tblGrid>
        <w:gridCol w:w="100"/>
      </w:tblGrid>
      <w:tr>
        <w:tc>
          <w:tcPr>
            <w:shd w:fill="EAF2EF" w:val="clear"/>
            <w:tcMar>
              <w:top w:type="dxa" w:w="160"/>
              <w:left w:type="dxa" w:w="200"/>
              <w:bottom w:type="dxa" w:w="160"/>
              <w:right w:type="dxa" w:w="200"/>
            </w:tcMar>
          </w:tcPr>
          <w:p>
            <w:pPr>
              <w:spacing w:after="80"/>
            </w:pPr>
            <w:r>
              <w:rPr>
                <w:b/>
                <w:bCs/>
                <w:color w:val="2F5D50"/>
                <w:sz w:val="22"/>
                <w:szCs w:val="22"/>
              </w:rPr>
              <w:t xml:space="preserve">Explicitly Out of Scope</w:t>
            </w:r>
          </w:p>
          <w:p>
            <w:pPr>
              <w:spacing w:after="40"/>
            </w:pPr>
            <w:r>
              <w:rPr>
                <w:color w:val="333333"/>
                <w:sz w:val="21"/>
                <w:szCs w:val="21"/>
              </w:rPr>
              <w:t xml:space="preserve">Cushion never holds, pools, or directly invests user funds — money always moves between the user's own bank account and a regulated partner.</w:t>
            </w:r>
          </w:p>
          <w:p>
            <w:pPr>
              <w:spacing w:after="40"/>
            </w:pPr>
            <w:r>
              <w:rPr>
                <w:color w:val="333333"/>
                <w:sz w:val="21"/>
                <w:szCs w:val="21"/>
              </w:rPr>
              <w:t xml:space="preserve">No personalized fund recommendations ("invest in this specific fund") — requires SEBI investment-adviser registration.</w:t>
            </w:r>
          </w:p>
          <w:p>
            <w:pPr>
              <w:spacing w:after="40"/>
            </w:pPr>
            <w:r>
              <w:rPr>
                <w:color w:val="333333"/>
                <w:sz w:val="21"/>
                <w:szCs w:val="21"/>
              </w:rPr>
              <w:t xml:space="preserve">No guaranteed-return language anywhere in the product — investments can rise or fall.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2026-09-09T06:43:29.819Z</dcterms:created>
  <dcterms:modified xsi:type="dcterms:W3CDTF">2026-09-09T06:43:29.835Z</dcterms:modified>
</cp:coreProperties>
</file>

<file path=docProps/custom.xml><?xml version="1.0" encoding="utf-8"?>
<Properties xmlns="http://schemas.openxmlformats.org/officeDocument/2006/custom-properties" xmlns:vt="http://schemas.openxmlformats.org/officeDocument/2006/docPropsVTypes"/>
</file>