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创新3shape跨模态注意力融合模型"/>
    <w:p>
      <w:pPr>
        <w:pStyle w:val="Heading2"/>
      </w:pPr>
      <w:r>
        <w:t xml:space="preserve">3.4 创新3：SHAPE跨模态注意力融合模型</w:t>
      </w:r>
    </w:p>
    <w:bookmarkStart w:id="21" w:name="设计动机与网络架构"/>
    <w:p>
      <w:pPr>
        <w:pStyle w:val="Heading3"/>
      </w:pPr>
      <w:r>
        <w:t xml:space="preserve">3.4.1 设计动机与网络架构</w:t>
      </w:r>
    </w:p>
    <w:p>
      <w:pPr>
        <w:pStyle w:val="FirstParagraph"/>
      </w:pPr>
      <w:r>
        <w:t xml:space="preserve">传统的多模态融合方法主要有三类，但均存在局限：</w:t>
      </w:r>
    </w:p>
    <w:p>
      <w:pPr>
        <w:pStyle w:val="BodyText"/>
      </w:pPr>
      <w:r>
        <w:rPr>
          <w:bCs/>
          <w:b/>
        </w:rPr>
        <w:t xml:space="preserve">(1) 早期融合（Early Fusion）</w:t>
      </w:r>
      <w:r>
        <w:t xml:space="preserve">：直接拼接原始特征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concat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70</m:t>
              </m:r>
            </m:sup>
          </m:sSup>
        </m:oMath>
      </m:oMathPara>
    </w:p>
    <w:p>
      <w:pPr>
        <w:pStyle w:val="FirstParagraph"/>
      </w:pPr>
      <w:r>
        <w:rPr>
          <w:bCs/>
          <w:b/>
        </w:rPr>
        <w:t xml:space="preserve">局限性</w:t>
      </w:r>
      <w:r>
        <w:t xml:space="preserve">：不同模态的维度和尺度差异大，高维模态会主导融合结果；无法建模模态间的交互关系；缺乏对不同模态重要性的自适应调整。</w:t>
      </w:r>
    </w:p>
    <w:p>
      <w:pPr>
        <w:pStyle w:val="BodyText"/>
      </w:pPr>
      <w:r>
        <w:rPr>
          <w:bCs/>
          <w:b/>
        </w:rPr>
        <w:t xml:space="preserve">(2) 晚期融合（Late Fusion）</w:t>
      </w:r>
      <w:r>
        <w:t xml:space="preserve">：分别训练单模态分类器，结果加权平均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final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v</m:t>
              </m:r>
            </m:sub>
          </m:sSub>
          <m:sSub>
            <m:e>
              <m:r>
                <m:t>P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a</m:t>
              </m:r>
            </m:sub>
          </m:sSub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sSub>
            <m:e>
              <m:r>
                <m:t>P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bCs/>
          <w:b/>
        </w:rPr>
        <w:t xml:space="preserve">局限性</w:t>
      </w:r>
      <w:r>
        <w:t xml:space="preserve">：权重</w:t>
      </w:r>
      <w:r>
        <w:t xml:space="preserve"> </w:t>
      </w:r>
      <m:oMath>
        <m:sSub>
          <m:e>
            <m:r>
              <m:t>w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固定，无法根据样本内容自适应调整；忽略了模态间的互补信息。</w:t>
      </w:r>
    </w:p>
    <w:p>
      <w:pPr>
        <w:pStyle w:val="BodyText"/>
      </w:pPr>
      <w:r>
        <w:rPr>
          <w:bCs/>
          <w:b/>
        </w:rPr>
        <w:t xml:space="preserve">(3) 中间融合（Middle Fusion）</w:t>
      </w:r>
      <w:r>
        <w:t xml:space="preserve">：在特征层进行加权融合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weighted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v</m:t>
              </m:r>
            </m:sub>
          </m:sSub>
          <m:sSub>
            <m:e>
              <m:r>
                <m:t>F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a</m:t>
              </m:r>
            </m:sub>
          </m:sSub>
          <m:sSub>
            <m:e>
              <m:r>
                <m:t>F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sSub>
            <m:e>
              <m:r>
                <m:t>F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bCs/>
          <w:b/>
        </w:rPr>
        <w:t xml:space="preserve">局限性</w:t>
      </w:r>
      <w:r>
        <w:t xml:space="preserve">：仍然是固定权重；不同模态的特征空间不一致，直接相加不合理。</w:t>
      </w:r>
    </w:p>
    <w:p>
      <w:pPr>
        <w:pStyle w:val="BodyText"/>
      </w:pPr>
      <w:r>
        <w:rPr>
          <w:bCs/>
          <w:b/>
        </w:rPr>
        <w:t xml:space="preserve">本研究采用跨模态注意力机制</w:t>
      </w:r>
      <w:r>
        <w:t xml:space="preserve">，解决以下问题：</w:t>
      </w:r>
      <w:r>
        <w:t xml:space="preserve"> </w:t>
      </w:r>
      <w:r>
        <w:t xml:space="preserve">1. 不同模态在不同样本上的重要性（样本自适应）</w:t>
      </w:r>
      <w:r>
        <w:t xml:space="preserve"> </w:t>
      </w:r>
      <w:r>
        <w:t xml:space="preserve">2. 模态之间的交互关系（跨模态增强）</w:t>
      </w:r>
      <w:r>
        <w:t xml:space="preserve"> </w:t>
      </w:r>
      <w:r>
        <w:t xml:space="preserve">3. 决策依据的可解释性（注意力权重可视化）</w:t>
      </w:r>
    </w:p>
    <w:bookmarkStart w:id="20" w:name="shape网络架构"/>
    <w:p>
      <w:pPr>
        <w:pStyle w:val="Heading4"/>
      </w:pPr>
      <w:r>
        <w:t xml:space="preserve">SHAPE网络架构</w:t>
      </w:r>
    </w:p>
    <w:p>
      <w:pPr>
        <w:pStyle w:val="FirstParagraph"/>
      </w:pPr>
      <w:r>
        <w:t xml:space="preserve">SHAPE由五个核心模块组成（详见3.1.3节四层架构图）：</w:t>
      </w:r>
    </w:p>
    <w:p>
      <w:pPr>
        <w:pStyle w:val="BodyText"/>
      </w:pPr>
      <w:r>
        <w:rPr>
          <w:bCs/>
          <w:b/>
        </w:rPr>
        <w:t xml:space="preserve">模块1：特征投影层</w:t>
      </w:r>
    </w:p>
    <w:p>
      <w:pPr>
        <w:pStyle w:val="BodyText"/>
      </w:pPr>
      <w:r>
        <w:t xml:space="preserve">由于三个模态的原始特征维度不同（</w:t>
      </w:r>
      <m:oMath>
        <m:sSub>
          <m:e>
            <m:r>
              <m:t>F</m:t>
            </m:r>
          </m:e>
          <m:sub>
            <m:r>
              <m:t>v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20</m:t>
            </m:r>
          </m:sup>
        </m:sSup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15</m:t>
            </m:r>
          </m:sup>
        </m:sSup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35</m:t>
            </m:r>
          </m:sup>
        </m:sSup>
      </m:oMath>
      <w:r>
        <w:t xml:space="preserve">），首先通过全连接层投影到统一维度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512</m:t>
        </m:r>
      </m:oMath>
      <w: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ReLU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v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v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t>F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512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ReLU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t>F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512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ReLU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t>F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512</m:t>
              </m:r>
            </m:sup>
          </m:sSup>
        </m:oMath>
      </m:oMathPara>
    </w:p>
    <w:p>
      <w:pPr>
        <w:pStyle w:val="FirstParagraph"/>
      </w:pPr>
      <w:r>
        <w:rPr>
          <w:bCs/>
          <w:b/>
        </w:rPr>
        <w:t xml:space="preserve">模块2：跨模态注意力层</w:t>
      </w:r>
      <w:r>
        <w:t xml:space="preserve">（核心创新）</w:t>
      </w:r>
    </w:p>
    <w:p>
      <w:pPr>
        <w:pStyle w:val="BodyText"/>
      </w:pPr>
      <w:r>
        <w:t xml:space="preserve">对于每对模态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，计算从模态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到模态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的注意力：</w:t>
      </w:r>
    </w:p>
    <w:p>
      <w:pPr>
        <w:pStyle w:val="BodyText"/>
      </w:pPr>
      <w:r>
        <w:rPr>
          <w:bCs/>
          <w:b/>
        </w:rPr>
        <w:t xml:space="preserve">步骤1：计算Query, Key, Value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F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i</m:t>
              </m:r>
            </m:sub>
          </m:sSub>
          <m:sSubSup>
            <m:e>
              <m:r>
                <m:t>W</m:t>
              </m:r>
            </m:e>
            <m:sub>
              <m:r>
                <m:t>Q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K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F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j</m:t>
              </m:r>
            </m:sub>
          </m:sSub>
          <m:sSubSup>
            <m:e>
              <m:r>
                <m:t>W</m:t>
              </m:r>
            </m:e>
            <m:sub>
              <m:r>
                <m:t>K</m:t>
              </m:r>
            </m:sub>
            <m:sup>
              <m:r>
                <m:t>j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F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j</m:t>
              </m:r>
            </m:sub>
          </m:sSub>
          <m:sSubSup>
            <m:e>
              <m:r>
                <m:t>W</m:t>
              </m:r>
            </m:e>
            <m:sub>
              <m:r>
                <m:t>V</m:t>
              </m:r>
            </m:sub>
            <m:sup>
              <m:r>
                <m:t>j</m:t>
              </m:r>
            </m:sup>
          </m:sSubSup>
        </m:oMath>
      </m:oMathPara>
    </w:p>
    <w:p>
      <w:pPr>
        <w:pStyle w:val="FirstParagraph"/>
      </w:pPr>
      <w:r>
        <w:t xml:space="preserve">其中，</w:t>
      </w:r>
      <m:oMath>
        <m:sSubSup>
          <m:e>
            <m:r>
              <m:t>W</m:t>
            </m:r>
          </m:e>
          <m:sub>
            <m:r>
              <m:t>Q</m:t>
            </m:r>
          </m:sub>
          <m:sup>
            <m:r>
              <m:t>i</m:t>
            </m:r>
          </m:sup>
        </m:sSubSup>
        <m:r>
          <m:rPr>
            <m:sty m:val="p"/>
          </m:rPr>
          <m:t>,</m:t>
        </m:r>
        <m:sSubSup>
          <m:e>
            <m:r>
              <m:t>W</m:t>
            </m:r>
          </m:e>
          <m:sub>
            <m:r>
              <m:t>K</m:t>
            </m:r>
          </m:sub>
          <m:sup>
            <m:r>
              <m:t>j</m:t>
            </m:r>
          </m:sup>
        </m:sSubSup>
        <m:r>
          <m:rPr>
            <m:sty m:val="p"/>
          </m:rPr>
          <m:t>,</m:t>
        </m:r>
        <m:sSubSup>
          <m:e>
            <m:r>
              <m:t>W</m:t>
            </m:r>
          </m:e>
          <m:sub>
            <m:r>
              <m:t>V</m:t>
            </m:r>
          </m:sub>
          <m:sup>
            <m:r>
              <m:t>j</m:t>
            </m:r>
          </m:sup>
        </m:sSub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512</m:t>
            </m:r>
            <m:r>
              <m:rPr>
                <m:sty m:val="p"/>
              </m:rPr>
              <m:t>×</m:t>
            </m:r>
            <m:r>
              <m:t>64</m:t>
            </m:r>
          </m:sup>
        </m:sSup>
      </m:oMath>
      <w:r>
        <w:t xml:space="preserve">，注意力维度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64</m:t>
        </m:r>
      </m:oMath>
      <w:r>
        <w:t xml:space="preserve">。</w:t>
      </w:r>
    </w:p>
    <w:p>
      <w:pPr>
        <w:pStyle w:val="BodyText"/>
      </w:pPr>
      <w:r>
        <w:rPr>
          <w:bCs/>
          <w:b/>
        </w:rPr>
        <w:t xml:space="preserve">步骤2：计算注意力权重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i</m:t>
              </m:r>
              <m:r>
                <m:rPr>
                  <m:sty m:val="p"/>
                </m:rPr>
                <m:t>→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Q</m:t>
                      </m:r>
                    </m:e>
                    <m:sub>
                      <m:r>
                        <m:t>i</m:t>
                      </m:r>
                    </m:sub>
                  </m:sSub>
                  <m:sSubSup>
                    <m:e>
                      <m:r>
                        <m:t>K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T</m:t>
                      </m:r>
                    </m:sup>
                  </m:sSub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步骤3：跨模态增强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e>
            <m:sub>
              <m:r>
                <m:t>i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</m:e>
              </m:d>
            </m:sup>
          </m:sSubSup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i</m:t>
              </m:r>
              <m:r>
                <m:rPr>
                  <m:sty m:val="p"/>
                </m:rPr>
                <m:t>→</m:t>
              </m:r>
              <m:r>
                <m:t>j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Cs/>
          <w:b/>
        </w:rPr>
        <w:t xml:space="preserve">步骤4：残差连接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t>F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+</m:t>
          </m:r>
          <m:sSubSup>
            <m:e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e>
            <m:sub>
              <m:r>
                <m:t>v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sup>
          </m:sSubSup>
          <m:r>
            <m:rPr>
              <m:sty m:val="p"/>
            </m:rPr>
            <m:t>+</m:t>
          </m:r>
          <m:sSubSup>
            <m:e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e>
            <m:sub>
              <m:r>
                <m:t>v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F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Sup>
            <m:e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e>
            <m:sub>
              <m:r>
                <m:t>a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</m:sup>
          </m:sSubSup>
          <m:r>
            <m:rPr>
              <m:sty m:val="p"/>
            </m:rPr>
            <m:t>+</m:t>
          </m:r>
          <m:sSubSup>
            <m:e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e>
            <m:sub>
              <m:r>
                <m:t>a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F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Sup>
            <m:e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e>
            <m:sub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</m:sup>
          </m:sSubSup>
          <m:r>
            <m:rPr>
              <m:sty m:val="p"/>
            </m:rPr>
            <m:t>+</m:t>
          </m:r>
          <m:sSubSup>
            <m:e>
              <m:acc>
                <m:accPr>
                  <m:chr m:val="̃"/>
                </m:accPr>
                <m:e>
                  <m:r>
                    <m:t>F</m:t>
                  </m:r>
                </m:e>
              </m:acc>
            </m:e>
            <m:sub>
              <m:r>
                <m:t>t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sup>
          </m:sSubSup>
        </m:oMath>
      </m:oMathPara>
    </w:p>
    <w:p>
      <w:pPr>
        <w:pStyle w:val="FirstParagraph"/>
      </w:pPr>
      <w:r>
        <w:rPr>
          <w:bCs/>
          <w:b/>
        </w:rPr>
        <w:t xml:space="preserve">模块3：BiLSTM时序建模</w:t>
      </w:r>
    </w:p>
    <w:p>
      <w:pPr>
        <w:pStyle w:val="BodyText"/>
      </w:pPr>
      <w:r>
        <w:t xml:space="preserve">将课堂中的所有语义单元序列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F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F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F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输入BiLSTM：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BiLSTM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模块4：注意力池化</w:t>
      </w:r>
    </w:p>
    <w:p>
      <w:pPr>
        <w:pStyle w:val="BodyText"/>
      </w:pPr>
      <w:r>
        <w:t xml:space="preserve">计算时序注意力权重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，自适应聚合关键片段：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rPr>
                          <m:sty m:val="b"/>
                        </m:rPr>
                        <m:t>w</m:t>
                      </m:r>
                    </m:e>
                    <m:sup>
                      <m:r>
                        <m:t>T</m:t>
                      </m:r>
                    </m:sup>
                  </m:sSup>
                  <m:sSub>
                    <m:e>
                      <m:r>
                        <m:rPr>
                          <m:sty m:val="b"/>
                        </m:rP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rPr>
                          <m:sty m:val="b"/>
                        </m:rPr>
                        <m:t>w</m:t>
                      </m:r>
                    </m:e>
                    <m:sup>
                      <m:r>
                        <m:t>T</m:t>
                      </m:r>
                    </m:sup>
                  </m:sSup>
                  <m:sSub>
                    <m:e>
                      <m:r>
                        <m:rPr>
                          <m:sty m:val="b"/>
                        </m:rP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h</m:t>
              </m:r>
            </m:e>
            <m:sub>
              <m:r>
                <m:rPr>
                  <m:nor/>
                  <m:sty m:val="p"/>
                </m:rPr>
                <m:t>pool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rPr>
                  <m:sty m:val="b"/>
                </m:rPr>
                <m:t>h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Cs/>
          <w:b/>
        </w:rPr>
        <w:t xml:space="preserve">模块5：风格分类器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p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cls</m:t>
                  </m:r>
                </m:sub>
              </m:sSub>
              <m:sSub>
                <m:e>
                  <m:r>
                    <m:rPr>
                      <m:sty m:val="b"/>
                    </m:rP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pool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cls</m:t>
                  </m:r>
                </m:sub>
              </m:sSub>
            </m:e>
          </m:d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7</m:t>
              </m:r>
            </m:sup>
          </m:sSup>
        </m:oMath>
      </m:oMathPara>
    </w:p>
    <w:p>
      <w:pPr>
        <w:pStyle w:val="FirstParagraph"/>
      </w:pPr>
      <w:r>
        <w:rPr>
          <w:bCs/>
          <w:b/>
        </w:rPr>
        <w:t xml:space="preserve">损失函数</w:t>
      </w:r>
      <w:r>
        <w:t xml:space="preserve">：交叉熵 + 标签平滑（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7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′</m:t>
          </m:r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</m:e>
          </m:d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ϵ</m:t>
              </m:r>
            </m:num>
            <m:den>
              <m:r>
                <m:t>7</m:t>
              </m:r>
            </m:den>
          </m:f>
        </m:oMath>
      </m:oMathPara>
    </w:p>
    <w:bookmarkEnd w:id="20"/>
    <w:bookmarkEnd w:id="21"/>
    <w:bookmarkStart w:id="26" w:name="实验验证与消融分析"/>
    <w:p>
      <w:pPr>
        <w:pStyle w:val="Heading3"/>
      </w:pPr>
      <w:r>
        <w:t xml:space="preserve">3.4.2 实验验证与消融分析</w:t>
      </w:r>
    </w:p>
    <w:bookmarkStart w:id="22" w:name="实验设置"/>
    <w:p>
      <w:pPr>
        <w:pStyle w:val="Heading4"/>
      </w:pPr>
      <w:r>
        <w:t xml:space="preserve">（1）实验设置</w:t>
      </w:r>
    </w:p>
    <w:p>
      <w:pPr>
        <w:pStyle w:val="FirstParagraph"/>
      </w:pPr>
      <w:r>
        <w:rPr>
          <w:bCs/>
          <w:b/>
        </w:rPr>
        <w:t xml:space="preserve">对比方法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Single-Video</w:t>
      </w:r>
      <w:r>
        <w:t xml:space="preserve">: 仅视觉特征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Single-Audio</w:t>
      </w:r>
      <w:r>
        <w:t xml:space="preserve">: 仅音频特征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Single-Text</w:t>
      </w:r>
      <w:r>
        <w:t xml:space="preserve">: 仅文本特征（H-DAR）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Early Fusion</w:t>
      </w:r>
      <w:r>
        <w:t xml:space="preserve">: 直接拼接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v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t>F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t>F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Late Fusion</w:t>
      </w:r>
      <w:r>
        <w:t xml:space="preserve">: 加权平均单模态预测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SHAPE（Proposed）</w:t>
      </w:r>
      <w:r>
        <w:t xml:space="preserve">: 跨模态注意力融合</w:t>
      </w:r>
    </w:p>
    <w:p>
      <w:pPr>
        <w:pStyle w:val="BodyText"/>
      </w:pPr>
      <w:r>
        <w:rPr>
          <w:bCs/>
          <w:b/>
        </w:rPr>
        <w:t xml:space="preserve">训练策略</w:t>
      </w:r>
      <w:r>
        <w:t xml:space="preserve">：</w:t>
      </w:r>
      <w:r>
        <w:t xml:space="preserve"> </w:t>
      </w:r>
      <w:r>
        <w:t xml:space="preserve">- 优化器：Adam，学习率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- Batch Size：32</w:t>
      </w:r>
      <w:r>
        <w:t xml:space="preserve"> </w:t>
      </w:r>
      <w:r>
        <w:t xml:space="preserve">- Epochs：50（早停策略）</w:t>
      </w:r>
      <w:r>
        <w:t xml:space="preserve"> </w:t>
      </w:r>
      <w:r>
        <w:t xml:space="preserve">- 余弦退火学习率调度</w:t>
      </w:r>
    </w:p>
    <w:bookmarkEnd w:id="22"/>
    <w:bookmarkStart w:id="23" w:name="shape-vs-简单融合"/>
    <w:p>
      <w:pPr>
        <w:pStyle w:val="Heading4"/>
      </w:pPr>
      <w:r>
        <w:t xml:space="preserve">（2）SHAPE vs 简单融合</w:t>
      </w:r>
    </w:p>
    <w:p>
      <w:pPr>
        <w:pStyle w:val="FirstParagraph"/>
      </w:pPr>
      <w:r>
        <w:rPr>
          <w:bCs/>
          <w:b/>
        </w:rPr>
        <w:t xml:space="preserve">表3.12：SHAPE vs 基线方法（测试集准确率）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1267"/>
        <w:gridCol w:w="1742"/>
        <w:gridCol w:w="1267"/>
        <w:gridCol w:w="633"/>
        <w:gridCol w:w="2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相比最佳单模态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baseline-V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baseline-A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Single-Text (H-DAR)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78.3%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baseline-T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SHAPE (Proposed)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91.4%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+13.1%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关键发现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SHAPE显著优于简单融合</w:t>
      </w:r>
      <w:r>
        <w:t xml:space="preserve">：</w:t>
      </w:r>
      <w:r>
        <w:t xml:space="preserve"> </w:t>
      </w:r>
      <w:r>
        <w:t xml:space="preserve">- vs Early Fusion: +6.2%（85.2% → 91.4%）</w:t>
      </w:r>
      <w:r>
        <w:t xml:space="preserve"> </w:t>
      </w:r>
      <w:r>
        <w:t xml:space="preserve">- vs Late Fusion: +3.8%（87.6% → 91.4%）</w:t>
      </w:r>
      <w:r>
        <w:t xml:space="preserve"> </w:t>
      </w:r>
      <w:r>
        <w:t xml:space="preserve">- vs最佳单模态（Text）: +13.1%（78.3% → 91.4%）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文本模态最强</w:t>
      </w:r>
      <w:r>
        <w:t xml:space="preserve">：H-DAR细粒度意图识别提供了强判别力（78.3%）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跨模态注意力的价值</w:t>
      </w:r>
      <w:r>
        <w:t xml:space="preserve">：相比Late Fusion提升3.8%，证明模态交互的重要性</w:t>
      </w:r>
    </w:p>
    <w:bookmarkEnd w:id="23"/>
    <w:bookmarkStart w:id="24" w:name="消融实验"/>
    <w:p>
      <w:pPr>
        <w:pStyle w:val="Heading4"/>
      </w:pPr>
      <w:r>
        <w:t xml:space="preserve">（3）消融实验</w:t>
      </w:r>
    </w:p>
    <w:p>
      <w:pPr>
        <w:pStyle w:val="FirstParagraph"/>
      </w:pPr>
      <w:r>
        <w:rPr>
          <w:bCs/>
          <w:b/>
        </w:rPr>
        <w:t xml:space="preserve">表3.13：SHAPE模块消融实验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ΔAcc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SHAPE (Complete)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w/o Cross-Modal 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改用简单拼接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w/o 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去除时序建模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w/o Attention Pooling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改用平均池化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w/o Residual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去除残差连接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关键发现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跨模态注意力最关键</w:t>
      </w:r>
      <w:r>
        <w:t xml:space="preserve">：移除后性能下降最大（-2.7%，p&lt;0.01）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时序建模重要</w:t>
      </w:r>
      <w:r>
        <w:t xml:space="preserve">：BiLSTM贡献1.6%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注意力池化有效</w:t>
      </w:r>
      <w:r>
        <w:t xml:space="preserve">：相比平均池化提升1.1%</w:t>
      </w:r>
    </w:p>
    <w:p>
      <w:pPr>
        <w:pStyle w:val="BodyText"/>
      </w:pPr>
      <w:r>
        <w:rPr>
          <w:bCs/>
          <w:b/>
        </w:rPr>
        <w:t xml:space="preserve">统计显著性检验</w:t>
      </w:r>
      <w:r>
        <w:t xml:space="preserve">（SHAPE vs Late Fusion）：</w:t>
      </w:r>
      <w:r>
        <w:t xml:space="preserve"> </w:t>
      </w:r>
      <w:r>
        <w:t xml:space="preserve">- 配对t检验：</w:t>
      </w:r>
      <m:oMath>
        <m:r>
          <m:t>t</m:t>
        </m:r>
        <m:r>
          <m:rPr>
            <m:sty m:val="p"/>
          </m:rPr>
          <m:t>=</m:t>
        </m:r>
        <m:r>
          <m:t>4.12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 </w:t>
      </w:r>
      <w:r>
        <w:t xml:space="preserve">- McNemar检验：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6.8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&lt;</m:t>
        </m:r>
        <m:r>
          <m:t>0.01</m:t>
        </m:r>
      </m:oMath>
    </w:p>
    <w:bookmarkEnd w:id="24"/>
    <w:bookmarkStart w:id="25" w:name="模态重要性分析"/>
    <w:p>
      <w:pPr>
        <w:pStyle w:val="Heading4"/>
      </w:pPr>
      <w:r>
        <w:t xml:space="preserve">（4）模态重要性分析</w:t>
      </w:r>
    </w:p>
    <w:p>
      <w:pPr>
        <w:pStyle w:val="FirstParagraph"/>
      </w:pPr>
      <w:r>
        <w:t xml:space="preserve">通过统计跨模态注意力权重</w:t>
      </w:r>
      <w:r>
        <w:t xml:space="preserve"> </w:t>
      </w:r>
      <m:oMath>
        <m:r>
          <m:t>α</m:t>
        </m:r>
      </m:oMath>
      <w:r>
        <w:t xml:space="preserve">，分析不同风格对模态的依赖：</w:t>
      </w:r>
    </w:p>
    <w:p>
      <w:pPr>
        <w:pStyle w:val="BodyText"/>
      </w:pPr>
      <w:r>
        <w:rPr>
          <w:bCs/>
          <w:b/>
        </w:rPr>
        <w:t xml:space="preserve">表3.14：七类风格的跨模态注意力权重统计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38"/>
        <w:gridCol w:w="2043"/>
        <w:gridCol w:w="2043"/>
        <w:gridCol w:w="2043"/>
        <w:gridCol w:w="11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音频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文本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主导模态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情感表达型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音频主导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互动导向型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视觉主导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逻辑推导型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文本主导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理论讲授型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文本主导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启发引导型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均衡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耐心细致型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音频主导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题目驱动型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视觉主导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关键发现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不同风格对模态的依赖显著不同</w:t>
      </w:r>
      <w:r>
        <w:t xml:space="preserve">（F=42.3, p&lt;0.001）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音频主导</w:t>
      </w:r>
      <w:r>
        <w:t xml:space="preserve">：情感表达型（0.62）、耐心细致型（0.42）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视觉主导</w:t>
      </w:r>
      <w:r>
        <w:t xml:space="preserve">：互动导向型（0.50）、题目驱动型（0.45）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文本主导</w:t>
      </w:r>
      <w:r>
        <w:t xml:space="preserve">：逻辑推导型（0.53）、理论讲授型（0.53）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均衡型</w:t>
      </w:r>
      <w:r>
        <w:t xml:space="preserve">：启发引导型（标准差0.015）</w:t>
      </w:r>
    </w:p>
    <w:bookmarkEnd w:id="25"/>
    <w:bookmarkEnd w:id="26"/>
    <w:bookmarkStart w:id="27" w:name="本节小结"/>
    <w:p>
      <w:pPr>
        <w:pStyle w:val="Heading3"/>
      </w:pPr>
      <w:r>
        <w:t xml:space="preserve">本节小结</w:t>
      </w:r>
    </w:p>
    <w:p>
      <w:pPr>
        <w:pStyle w:val="FirstParagraph"/>
      </w:pPr>
      <w:r>
        <w:t xml:space="preserve">本节提出并验证了</w:t>
      </w:r>
      <w:r>
        <w:rPr>
          <w:bCs/>
          <w:b/>
        </w:rPr>
        <w:t xml:space="preserve">SHAPE跨模态注意力融合模型</w:t>
      </w:r>
      <w:r>
        <w:t xml:space="preserve">，这是SHAPE引擎的第三项核心创新。</w:t>
      </w:r>
    </w:p>
    <w:p>
      <w:pPr>
        <w:pStyle w:val="BodyText"/>
      </w:pPr>
      <w:r>
        <w:rPr>
          <w:bCs/>
          <w:b/>
        </w:rPr>
        <w:t xml:space="preserve">核心贡献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五模块架构</w:t>
      </w:r>
      <w:r>
        <w:t xml:space="preserve">：投影→注意力→BiLSTM→池化→分类器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跨模态注意力</w:t>
      </w:r>
      <w:r>
        <w:t xml:space="preserve">：样本自适应的模态重要性调整（6个注意力权重）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端到端可解释</w:t>
      </w:r>
      <w:r>
        <w:t xml:space="preserve">：注意力权重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t xml:space="preserve">可视化，追溯决策依据</w:t>
      </w:r>
    </w:p>
    <w:p>
      <w:pPr>
        <w:pStyle w:val="BodyText"/>
      </w:pPr>
      <w:r>
        <w:rPr>
          <w:bCs/>
          <w:b/>
        </w:rPr>
        <w:t xml:space="preserve">定量结果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vs Early Fusion</w:t>
      </w:r>
      <w:r>
        <w:t xml:space="preserve">: +6.2%（85.2% → 91.4%）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vs Late Fusion</w:t>
      </w:r>
      <w:r>
        <w:t xml:space="preserve">: +3.8%（87.6% → 91.4%）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vs最佳单模态</w:t>
      </w:r>
      <w:r>
        <w:t xml:space="preserve">: +13.1%（78.3% → 91.4%）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跨模态注意力贡献</w:t>
      </w:r>
      <w:r>
        <w:t xml:space="preserve">: -2.7%（p&lt;0.01，消融后88.7%）</w:t>
      </w:r>
    </w:p>
    <w:p>
      <w:pPr>
        <w:pStyle w:val="BodyText"/>
      </w:pPr>
      <w:r>
        <w:rPr>
          <w:bCs/>
          <w:b/>
        </w:rPr>
        <w:t xml:space="preserve">可解释性</w:t>
      </w:r>
      <w:r>
        <w:t xml:space="preserve">：</w:t>
      </w:r>
      <w:r>
        <w:t xml:space="preserve"> </w:t>
      </w:r>
      <w:r>
        <w:t xml:space="preserve">- 揭示了不同风格对模态的依赖模式</w:t>
      </w:r>
      <w:r>
        <w:t xml:space="preserve"> </w:t>
      </w:r>
      <w:r>
        <w:t xml:space="preserve">- 为教育学研究提供了定量证据</w:t>
      </w:r>
    </w:p>
    <w:p>
      <w:pPr>
        <w:pStyle w:val="BodyText"/>
      </w:pPr>
      <w:r>
        <w:t xml:space="preserve">这些结果表明，</w:t>
      </w:r>
      <w:r>
        <w:rPr>
          <w:bCs/>
          <w:b/>
        </w:rPr>
        <w:t xml:space="preserve">SHAPE是一项有效的创新</w:t>
      </w:r>
      <w:r>
        <w:t xml:space="preserve">，通过跨模态注意力机制实现了样本自适应的模态融合，显著提升了教师风格识别性能。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2026-02-17T11:11:04Z</dcterms:created>
  <dcterms:modified xsi:type="dcterms:W3CDTF">2026-02-17T11:11:04Z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