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本章小结"/>
    <w:p>
      <w:pPr>
        <w:pStyle w:val="Heading2"/>
      </w:pPr>
      <w:r>
        <w:t xml:space="preserve">3.7 本章小结</w:t>
      </w:r>
    </w:p>
    <w:p>
      <w:pPr>
        <w:pStyle w:val="FirstParagraph"/>
      </w:pPr>
      <w:r>
        <w:t xml:space="preserve">本章系统设计并验证了</w:t>
      </w:r>
      <w:r>
        <w:rPr>
          <w:bCs/>
          <w:b/>
        </w:rPr>
        <w:t xml:space="preserve">SHAPE教师风格画像引擎</w:t>
      </w:r>
      <w:r>
        <w:t xml:space="preserve">，构建了从课堂录像到风格画像的完整流程。</w:t>
      </w:r>
    </w:p>
    <w:bookmarkStart w:id="23" w:name="核心贡献"/>
    <w:p>
      <w:pPr>
        <w:pStyle w:val="Heading3"/>
      </w:pPr>
      <w:r>
        <w:t xml:space="preserve">核心贡献</w:t>
      </w:r>
    </w:p>
    <w:p>
      <w:pPr>
        <w:pStyle w:val="FirstParagraph"/>
      </w:pPr>
      <w:r>
        <w:t xml:space="preserve">本章提出并验证了三项核心创新，形成完整的SHAPE引擎四层架构：</w:t>
      </w:r>
    </w:p>
    <w:bookmarkStart w:id="20" w:name="创新1语义驱动的话语分段策略3.2节"/>
    <w:p>
      <w:pPr>
        <w:pStyle w:val="Heading4"/>
      </w:pPr>
      <w:r>
        <w:t xml:space="preserve">（1）创新1：语义驱动的话语分段策略（3.2节）</w:t>
      </w:r>
    </w:p>
    <w:p>
      <w:pPr>
        <w:pStyle w:val="FirstParagraph"/>
      </w:pPr>
      <w:r>
        <w:rPr>
          <w:bCs/>
          <w:b/>
        </w:rPr>
        <w:t xml:space="preserve">问题</w:t>
      </w:r>
      <w:r>
        <w:t xml:space="preserve">：传统固定时间窗口分段导致23.4%样本语义割裂</w:t>
      </w:r>
    </w:p>
    <w:p>
      <w:pPr>
        <w:pStyle w:val="BodyText"/>
      </w:pPr>
      <w:r>
        <w:rPr>
          <w:bCs/>
          <w:b/>
        </w:rPr>
        <w:t xml:space="preserve">方法</w:t>
      </w:r>
      <w:r>
        <w:t xml:space="preserve">：基于依存句法分析和话语边界检测的语义分段算法</w:t>
      </w:r>
      <w:r>
        <w:t xml:space="preserve"> </w:t>
      </w:r>
      <w:r>
        <w:t xml:space="preserve">- ASR全文转写 → 句子边界检测 → 依存句法分析 → 话语边界检测</w:t>
      </w:r>
      <w:r>
        <w:t xml:space="preserve"> </w:t>
      </w:r>
      <w:r>
        <w:t xml:space="preserve">- 自适应单元时长（5-30秒），平均175个单元/课</w:t>
      </w:r>
    </w:p>
    <w:p>
      <w:pPr>
        <w:pStyle w:val="BodyText"/>
      </w:pPr>
      <w:r>
        <w:rPr>
          <w:bCs/>
          <w:b/>
        </w:rPr>
        <w:t xml:space="preserve">实验结果</w:t>
      </w:r>
      <w:r>
        <w:t xml:space="preserve">：</w:t>
      </w:r>
      <w:r>
        <w:t xml:space="preserve"> </w:t>
      </w:r>
      <w:r>
        <w:t xml:space="preserve">- 语义完整率：76.6% →</w:t>
      </w:r>
      <w:r>
        <w:t xml:space="preserve"> </w:t>
      </w:r>
      <w:r>
        <w:rPr>
          <w:bCs/>
          <w:b/>
        </w:rPr>
        <w:t xml:space="preserve">95.3%</w:t>
      </w:r>
      <w:r>
        <w:t xml:space="preserve">（+18.7%）</w:t>
      </w:r>
      <w:r>
        <w:t xml:space="preserve"> </w:t>
      </w:r>
      <w:r>
        <w:t xml:space="preserve">- 意图识别F1：0.84 →</w:t>
      </w:r>
      <w:r>
        <w:t xml:space="preserve"> </w:t>
      </w:r>
      <w:r>
        <w:rPr>
          <w:bCs/>
          <w:b/>
        </w:rPr>
        <w:t xml:space="preserve">0.89</w:t>
      </w:r>
      <w:r>
        <w:t xml:space="preserve">（+5.2%）</w:t>
      </w:r>
      <w:r>
        <w:t xml:space="preserve"> </w:t>
      </w:r>
      <w:r>
        <w:t xml:space="preserve">- 风格准确率：91.4% →</w:t>
      </w:r>
      <w:r>
        <w:t xml:space="preserve"> </w:t>
      </w:r>
      <w:r>
        <w:rPr>
          <w:bCs/>
          <w:b/>
        </w:rPr>
        <w:t xml:space="preserve">93.5%</w:t>
      </w:r>
      <w:r>
        <w:t xml:space="preserve">（+2.1%）</w:t>
      </w:r>
      <w:r>
        <w:t xml:space="preserve"> </w:t>
      </w:r>
      <w:r>
        <w:t xml:space="preserve">- 计算开销：42.3s → 41.8s（-1.2%，几乎不变）</w:t>
      </w:r>
      <w:r>
        <w:t xml:space="preserve"> </w:t>
      </w:r>
      <w:r>
        <w:t xml:space="preserve">- 统计显著性：p &lt; 0.001，Cohen’s d = 0.52-1.87（中-大效应）</w:t>
      </w:r>
    </w:p>
    <w:p>
      <w:pPr>
        <w:pStyle w:val="BodyText"/>
      </w:pPr>
      <w:r>
        <w:rPr>
          <w:bCs/>
          <w:b/>
        </w:rPr>
        <w:t xml:space="preserve">典型案例</w:t>
      </w:r>
      <w:r>
        <w:t xml:space="preserve">：完整保留”因为…所以…因此”逻辑链，使Reasoning识别F1从0.79提升至0.87（+0.08）</w:t>
      </w:r>
    </w:p>
    <w:bookmarkEnd w:id="20"/>
    <w:bookmarkStart w:id="21" w:name="创新2层次化细粒度教学意图识别-h-dar3.3节"/>
    <w:p>
      <w:pPr>
        <w:pStyle w:val="Heading4"/>
      </w:pPr>
      <w:r>
        <w:t xml:space="preserve">（2）创新2：层次化细粒度教学意图识别 H-DAR（3.3节）</w:t>
      </w:r>
    </w:p>
    <w:p>
      <w:pPr>
        <w:pStyle w:val="FirstParagraph"/>
      </w:pPr>
      <w:r>
        <w:rPr>
          <w:bCs/>
          <w:b/>
        </w:rPr>
        <w:t xml:space="preserve">问题</w:t>
      </w:r>
      <w:r>
        <w:t xml:space="preserve">：传统粗粒度4类分类无法区分教学策略差异</w:t>
      </w:r>
    </w:p>
    <w:p>
      <w:pPr>
        <w:pStyle w:val="BodyText"/>
      </w:pPr>
      <w:r>
        <w:rPr>
          <w:bCs/>
          <w:b/>
        </w:rPr>
        <w:t xml:space="preserve">方法</w:t>
      </w:r>
      <w:r>
        <w:t xml:space="preserve">：4粗类10细类的层次化分类体系</w:t>
      </w:r>
      <w:r>
        <w:t xml:space="preserve"> </w:t>
      </w:r>
      <w:r>
        <w:t xml:space="preserve">- BERT编码 → 粗分类（Question/Explanation/Instruction/Feedback）→ 细分类（10类）</w:t>
      </w:r>
      <w:r>
        <w:t xml:space="preserve"> </w:t>
      </w:r>
      <w:r>
        <w:t xml:space="preserve">- 联合训练：</w:t>
      </w:r>
      <m:oMath>
        <m:r>
          <m:rPr>
            <m:sty m:val="p"/>
            <m:scr m:val="script"/>
          </m:rPr>
          <m:t>L</m:t>
        </m:r>
        <m:r>
          <m:rPr>
            <m:sty m:val="p"/>
          </m:rPr>
          <m:t>=</m:t>
        </m:r>
        <m:r>
          <m:t>0.3</m:t>
        </m:r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nor/>
                <m:sty m:val="p"/>
              </m:rPr>
              <m:t>coarse</m:t>
            </m:r>
          </m:sub>
        </m:sSub>
        <m:r>
          <m:rPr>
            <m:sty m:val="p"/>
          </m:rPr>
          <m:t>+</m:t>
        </m:r>
        <m:r>
          <m:t>0.7</m:t>
        </m:r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nor/>
                <m:sty m:val="p"/>
              </m:rPr>
              <m:t>fine</m:t>
            </m:r>
          </m:sub>
        </m:sSub>
      </m:oMath>
      <w:r>
        <w:t xml:space="preserve"> </w:t>
      </w:r>
      <w:r>
        <w:t xml:space="preserve">- 输出35维文本特征（10维细分类 + 4维粗分类 + 21维二阶统计）</w:t>
      </w:r>
    </w:p>
    <w:p>
      <w:pPr>
        <w:pStyle w:val="BodyText"/>
      </w:pPr>
      <w:r>
        <w:rPr>
          <w:bCs/>
          <w:b/>
        </w:rPr>
        <w:t xml:space="preserve">实验结果</w:t>
      </w:r>
      <w:r>
        <w:t xml:space="preserve">：</w:t>
      </w:r>
      <w:r>
        <w:t xml:space="preserve"> </w:t>
      </w:r>
      <w:r>
        <w:t xml:space="preserve">- H-DAR vs 关键词规则：宏平均F1 0.70 →</w:t>
      </w:r>
      <w:r>
        <w:t xml:space="preserve"> </w:t>
      </w:r>
      <w:r>
        <w:rPr>
          <w:bCs/>
          <w:b/>
        </w:rPr>
        <w:t xml:space="preserve">0.89</w:t>
      </w:r>
      <w:r>
        <w:t xml:space="preserve">（+0.19，+27.1%）</w:t>
      </w:r>
      <w:r>
        <w:t xml:space="preserve"> </w:t>
      </w:r>
      <w:r>
        <w:t xml:space="preserve">- H-DAR vs 单层BERT：宏平均F1 0.84 →</w:t>
      </w:r>
      <w:r>
        <w:t xml:space="preserve"> </w:t>
      </w:r>
      <w:r>
        <w:rPr>
          <w:bCs/>
          <w:b/>
        </w:rPr>
        <w:t xml:space="preserve">0.89</w:t>
      </w:r>
      <w:r>
        <w:t xml:space="preserve">（+0.05，+6.0%）</w:t>
      </w:r>
      <w:r>
        <w:t xml:space="preserve"> </w:t>
      </w:r>
      <w:r>
        <w:t xml:space="preserve">- 层次化 vs 扁平化：细分类F1 0.82 →</w:t>
      </w:r>
      <w:r>
        <w:t xml:space="preserve"> </w:t>
      </w:r>
      <w:r>
        <w:rPr>
          <w:bCs/>
          <w:b/>
        </w:rPr>
        <w:t xml:space="preserve">0.87</w:t>
      </w:r>
      <w:r>
        <w:t xml:space="preserve">（+0.05），训练收敛-28%</w:t>
      </w:r>
    </w:p>
    <w:p>
      <w:pPr>
        <w:pStyle w:val="BodyText"/>
      </w:pPr>
      <w:r>
        <w:rPr>
          <w:bCs/>
          <w:b/>
        </w:rPr>
        <w:t xml:space="preserve">教育学意义</w:t>
      </w:r>
      <w:r>
        <w:t xml:space="preserve">：10类细分有效区分”逻辑推导型”vs”理论讲授型”等细微差异，区分指标0.15-0.28（vs粗粒度0.08-0.12）</w:t>
      </w:r>
    </w:p>
    <w:bookmarkEnd w:id="21"/>
    <w:bookmarkStart w:id="22" w:name="创新3shape跨模态注意力融合模型3.4节"/>
    <w:p>
      <w:pPr>
        <w:pStyle w:val="Heading4"/>
      </w:pPr>
      <w:r>
        <w:t xml:space="preserve">（3）创新3：SHAPE跨模态注意力融合模型（3.4节）</w:t>
      </w:r>
    </w:p>
    <w:p>
      <w:pPr>
        <w:pStyle w:val="FirstParagraph"/>
      </w:pPr>
      <w:r>
        <w:rPr>
          <w:bCs/>
          <w:b/>
        </w:rPr>
        <w:t xml:space="preserve">问题</w:t>
      </w:r>
      <w:r>
        <w:t xml:space="preserve">：简单拼接（Early Fusion）或固定权重（Late Fusion）忽略模态交互</w:t>
      </w:r>
    </w:p>
    <w:p>
      <w:pPr>
        <w:pStyle w:val="BodyText"/>
      </w:pPr>
      <w:r>
        <w:rPr>
          <w:bCs/>
          <w:b/>
        </w:rPr>
        <w:t xml:space="preserve">方法</w:t>
      </w:r>
      <w:r>
        <w:t xml:space="preserve">：五模块跨模态注意力架构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特征投影层</w:t>
      </w:r>
      <w:r>
        <w:t xml:space="preserve">：统一三模态到512维空间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跨模态注意力层</w:t>
      </w:r>
      <w:r>
        <w:t xml:space="preserve">（核心）：计算6个注意力权重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  <m:r>
              <m:rPr>
                <m:sty m:val="p"/>
              </m:rPr>
              <m:t>→</m:t>
            </m:r>
            <m:r>
              <m:t>j</m:t>
            </m:r>
          </m:sub>
        </m:sSub>
      </m:oMath>
      <w:r>
        <w:t xml:space="preserve">，实现样本自适应模态交互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BiLSTM时序建模</w:t>
      </w:r>
      <w:r>
        <w:t xml:space="preserve">：捕捉课堂时序依赖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注意力池化层</w:t>
      </w:r>
      <w:r>
        <w:t xml:space="preserve">：自适应聚合关键片段（权重</w:t>
      </w:r>
      <w:r>
        <w:t xml:space="preserve"> </w:t>
      </w:r>
      <m:oMath>
        <m:r>
          <m:t>β</m:t>
        </m:r>
      </m:oMath>
      <w:r>
        <w:t xml:space="preserve">）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风格分类器</w:t>
      </w:r>
      <w:r>
        <w:t xml:space="preserve">：7类风格输出</w:t>
      </w:r>
    </w:p>
    <w:p>
      <w:pPr>
        <w:pStyle w:val="BodyText"/>
      </w:pPr>
      <w:r>
        <w:rPr>
          <w:bCs/>
          <w:b/>
        </w:rPr>
        <w:t xml:space="preserve">实验结果</w:t>
      </w:r>
      <w:r>
        <w:t xml:space="preserve">：</w:t>
      </w:r>
      <w:r>
        <w:t xml:space="preserve"> </w:t>
      </w:r>
      <w:r>
        <w:t xml:space="preserve">- SHAPE vs Early Fusion：85.2% →</w:t>
      </w:r>
      <w:r>
        <w:t xml:space="preserve"> </w:t>
      </w:r>
      <w:r>
        <w:rPr>
          <w:bCs/>
          <w:b/>
        </w:rPr>
        <w:t xml:space="preserve">91.4%</w:t>
      </w:r>
      <w:r>
        <w:t xml:space="preserve">（+6.2%）</w:t>
      </w:r>
      <w:r>
        <w:t xml:space="preserve"> </w:t>
      </w:r>
      <w:r>
        <w:t xml:space="preserve">- SHAPE vs Late Fusion：87.6% →</w:t>
      </w:r>
      <w:r>
        <w:t xml:space="preserve"> </w:t>
      </w:r>
      <w:r>
        <w:rPr>
          <w:bCs/>
          <w:b/>
        </w:rPr>
        <w:t xml:space="preserve">91.4%</w:t>
      </w:r>
      <w:r>
        <w:t xml:space="preserve">（+3.8%）</w:t>
      </w:r>
      <w:r>
        <w:t xml:space="preserve"> </w:t>
      </w:r>
      <w:r>
        <w:t xml:space="preserve">- SHAPE vs 最佳单模态：78.3% →</w:t>
      </w:r>
      <w:r>
        <w:t xml:space="preserve"> </w:t>
      </w:r>
      <w:r>
        <w:rPr>
          <w:bCs/>
          <w:b/>
        </w:rPr>
        <w:t xml:space="preserve">91.4%</w:t>
      </w:r>
      <w:r>
        <w:t xml:space="preserve">（+13.1%）</w:t>
      </w:r>
      <w:r>
        <w:t xml:space="preserve"> </w:t>
      </w:r>
      <w:r>
        <w:t xml:space="preserve">- 消融实验：移除跨模态注意力-2.7%（p&lt;0.01，最关键）</w:t>
      </w:r>
    </w:p>
    <w:p>
      <w:pPr>
        <w:pStyle w:val="BodyText"/>
      </w:pPr>
      <w:r>
        <w:rPr>
          <w:bCs/>
          <w:b/>
        </w:rPr>
        <w:t xml:space="preserve">可解释性</w:t>
      </w:r>
      <w:r>
        <w:t xml:space="preserve">：注意力权重揭示风格-模态依赖</w:t>
      </w:r>
      <w:r>
        <w:t xml:space="preserve"> </w:t>
      </w:r>
      <w:r>
        <w:t xml:space="preserve">- 情感表达型：音频主导（</w:t>
      </w:r>
      <m:oMath>
        <m:sSub>
          <m:e>
            <m:r>
              <m:t>α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0.62</m:t>
        </m:r>
      </m:oMath>
      <w:r>
        <w:t xml:space="preserve">）</w:t>
      </w:r>
      <w:r>
        <w:t xml:space="preserve"> </w:t>
      </w:r>
      <w:r>
        <w:t xml:space="preserve">- 互动导向型：视觉主导（</w:t>
      </w:r>
      <m:oMath>
        <m:sSub>
          <m:e>
            <m:r>
              <m:t>α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0.50</m:t>
        </m:r>
      </m:oMath>
      <w:r>
        <w:t xml:space="preserve">）</w:t>
      </w:r>
      <w:r>
        <w:t xml:space="preserve"> </w:t>
      </w:r>
      <w:r>
        <w:t xml:space="preserve">- 逻辑推导型：文本主导（</w:t>
      </w:r>
      <m:oMath>
        <m:sSub>
          <m:e>
            <m:r>
              <m:t>α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0.53</m:t>
        </m:r>
      </m:oMath>
      <w:r>
        <w:t xml:space="preserve">）</w:t>
      </w:r>
    </w:p>
    <w:bookmarkEnd w:id="22"/>
    <w:bookmarkEnd w:id="23"/>
    <w:bookmarkStart w:id="24" w:name="多模态特征提取实现3.5节"/>
    <w:p>
      <w:pPr>
        <w:pStyle w:val="Heading3"/>
      </w:pPr>
      <w:r>
        <w:t xml:space="preserve">多模态特征提取实现（3.5节）</w:t>
      </w:r>
    </w:p>
    <w:p>
      <w:pPr>
        <w:pStyle w:val="FirstParagraph"/>
      </w:pPr>
      <w:r>
        <w:rPr>
          <w:bCs/>
          <w:b/>
        </w:rPr>
        <w:t xml:space="preserve">音频模态（15维）</w:t>
      </w:r>
      <w:r>
        <w:t xml:space="preserve">：Wav2Vec 2.0深度声学表征 + 情感分类</w:t>
      </w:r>
      <w:r>
        <w:t xml:space="preserve"> </w:t>
      </w:r>
      <w:r>
        <w:t xml:space="preserve">- vs MFCC：+6.4%单模态准确率，+11.3%噪声鲁棒性</w:t>
      </w:r>
    </w:p>
    <w:p>
      <w:pPr>
        <w:pStyle w:val="BodyText"/>
      </w:pPr>
      <w:r>
        <w:rPr>
          <w:bCs/>
          <w:b/>
        </w:rPr>
        <w:t xml:space="preserve">视觉模态（20维）</w:t>
      </w:r>
      <w:r>
        <w:t xml:space="preserve">：DeepSORT稳定追踪 + ST-GCN时空图卷积</w:t>
      </w:r>
      <w:r>
        <w:t xml:space="preserve"> </w:t>
      </w:r>
      <w:r>
        <w:t xml:space="preserve">- DeepSORT ID稳定性93.8% vs YOLO-only 68.3%（+25.5%）</w:t>
      </w:r>
      <w:r>
        <w:t xml:space="preserve"> </w:t>
      </w:r>
      <w:r>
        <w:t xml:space="preserve">- ST-GCN vs 单帧规则：+17.7%单模态准确率</w:t>
      </w:r>
    </w:p>
    <w:p>
      <w:pPr>
        <w:pStyle w:val="BodyText"/>
      </w:pPr>
      <w:r>
        <w:rPr>
          <w:bCs/>
          <w:b/>
        </w:rPr>
        <w:t xml:space="preserve">文本模态（35维）</w:t>
      </w:r>
      <w:r>
        <w:t xml:space="preserve">：Whisper ASR + BERT + H-DAR细粒度识别</w:t>
      </w:r>
      <w:r>
        <w:t xml:space="preserve"> </w:t>
      </w:r>
      <w:r>
        <w:t xml:space="preserve">- Whisper CER 3.2%（高质量转写）</w:t>
      </w:r>
      <w:r>
        <w:t xml:space="preserve"> </w:t>
      </w:r>
      <w:r>
        <w:t xml:space="preserve">- BERT+H-DAR vs 关键词：+12.6%单模态准确率</w:t>
      </w:r>
    </w:p>
    <w:bookmarkEnd w:id="24"/>
    <w:bookmarkStart w:id="25" w:name="引擎整体性能3.6节"/>
    <w:p>
      <w:pPr>
        <w:pStyle w:val="Heading3"/>
      </w:pPr>
      <w:r>
        <w:t xml:space="preserve">引擎整体性能（3.6节）</w:t>
      </w:r>
    </w:p>
    <w:p>
      <w:pPr>
        <w:pStyle w:val="FirstParagraph"/>
      </w:pPr>
      <w:r>
        <w:rPr>
          <w:bCs/>
          <w:b/>
        </w:rPr>
        <w:t xml:space="preserve">核心指标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准确率：93.5%</w:t>
      </w:r>
      <w:r>
        <w:t xml:space="preserve">（达到实用水平）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宏平均F1：0.91</w:t>
      </w:r>
      <w:r>
        <w:t xml:space="preserve">（各类均衡）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Cohen’s Kappa：0.89</w:t>
      </w:r>
      <w:r>
        <w:t xml:space="preserve">（实质性一致）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Top-2准确率：98.1%</w:t>
      </w:r>
      <w:r>
        <w:t xml:space="preserve">（极高覆盖）</w:t>
      </w:r>
    </w:p>
    <w:p>
      <w:pPr>
        <w:pStyle w:val="BodyText"/>
      </w:pPr>
      <w:r>
        <w:rPr>
          <w:bCs/>
          <w:b/>
        </w:rPr>
        <w:t xml:space="preserve">各风格性能</w:t>
      </w:r>
      <w:r>
        <w:t xml:space="preserve">：</w:t>
      </w:r>
      <w:r>
        <w:t xml:space="preserve"> </w:t>
      </w:r>
      <w:r>
        <w:t xml:space="preserve">- 优秀（F1≥0.90）：题目驱动（1.0）、情感表达（1.0）、耐心细致（0.923）、启发引导（0.900）</w:t>
      </w:r>
      <w:r>
        <w:t xml:space="preserve"> </w:t>
      </w:r>
      <w:r>
        <w:t xml:space="preserve">- 良好（0.85≤F1&lt;0.90）：互动导向（0.889）、理论讲授（0.849）</w:t>
      </w:r>
      <w:r>
        <w:t xml:space="preserve"> </w:t>
      </w:r>
      <w:r>
        <w:t xml:space="preserve">- 一般（F1&lt;0.85）：逻辑推导（0.778）</w:t>
      </w:r>
    </w:p>
    <w:p>
      <w:pPr>
        <w:pStyle w:val="BodyText"/>
      </w:pPr>
      <w:r>
        <w:rPr>
          <w:bCs/>
          <w:b/>
        </w:rPr>
        <w:t xml:space="preserve">主要混淆</w:t>
      </w:r>
      <w:r>
        <w:t xml:space="preserve">：</w:t>
      </w:r>
      <w:r>
        <w:t xml:space="preserve"> </w:t>
      </w:r>
      <w:r>
        <w:t xml:space="preserve">- 理论讲授 vs 逻辑推导（18%）：教育学边界模糊</w:t>
      </w:r>
      <w:r>
        <w:t xml:space="preserve"> </w:t>
      </w:r>
      <w:r>
        <w:t xml:space="preserve">- 启发引导 vs 互动导向（11%）：均强调互动</w:t>
      </w:r>
    </w:p>
    <w:p>
      <w:pPr>
        <w:pStyle w:val="BodyText"/>
      </w:pPr>
      <w:r>
        <w:rPr>
          <w:bCs/>
          <w:b/>
        </w:rPr>
        <w:t xml:space="preserve">泛化与鲁棒性</w:t>
      </w:r>
      <w:r>
        <w:t xml:space="preserve">：</w:t>
      </w:r>
      <w:r>
        <w:t xml:space="preserve"> </w:t>
      </w:r>
      <w:r>
        <w:t xml:space="preserve">- 5折交叉验证：92.3% ± 1.8%（稳定）</w:t>
      </w:r>
      <w:r>
        <w:t xml:space="preserve"> </w:t>
      </w:r>
      <w:r>
        <w:t xml:space="preserve">- 跨教师测试：90.7%（泛化损失2.8%）</w:t>
      </w:r>
      <w:r>
        <w:t xml:space="preserve"> </w:t>
      </w:r>
      <w:r>
        <w:t xml:space="preserve">- 中等噪声（SNR≥10dB）：准确率&gt;89%</w:t>
      </w:r>
    </w:p>
    <w:bookmarkEnd w:id="25"/>
    <w:bookmarkStart w:id="26" w:name="创新传导路径"/>
    <w:p>
      <w:pPr>
        <w:pStyle w:val="Heading3"/>
      </w:pPr>
      <w:r>
        <w:t xml:space="preserve">创新传导路径</w:t>
      </w:r>
    </w:p>
    <w:p>
      <w:pPr>
        <w:pStyle w:val="FirstParagraph"/>
      </w:pPr>
      <w:r>
        <w:t xml:space="preserve">三项创新形成完整的改进链：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语义驱动分段</m:t>
              </m:r>
            </m:e>
          </m:borderBox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完整率</m:t>
              </m:r>
              <m:r>
                <m:rPr>
                  <m:sty m:val="p"/>
                </m:rPr>
                <m:t>+</m:t>
              </m:r>
              <m:r>
                <m:t>18.7</m:t>
              </m:r>
              <m:r>
                <m:rPr>
                  <m:sty m:val="p"/>
                </m:rPr>
                <m:t>%</m:t>
              </m:r>
            </m:lim>
          </m:limUpp>
          <m:borderBox>
            <m:e>
              <m:r>
                <m:rPr>
                  <m:nor/>
                  <m:sty m:val="p"/>
                </m:rPr>
                <m:t>H-DAR细粒度识别</m:t>
              </m:r>
            </m:e>
          </m:borderBox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意图F1</m:t>
              </m:r>
              <m:r>
                <m:rPr>
                  <m:sty m:val="p"/>
                </m:rPr>
                <m:t>+</m:t>
              </m:r>
              <m:r>
                <m:t>5.2</m:t>
              </m:r>
              <m:r>
                <m:rPr>
                  <m:sty m:val="p"/>
                </m:rPr>
                <m:t>%</m:t>
              </m:r>
            </m:lim>
          </m:limUpp>
          <m:borderBox>
            <m:e>
              <m:r>
                <m:rPr>
                  <m:nor/>
                  <m:sty m:val="p"/>
                </m:rPr>
                <m:t>SHAPE跨模态融合</m:t>
              </m:r>
            </m:e>
          </m:borderBox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风格准确率</m:t>
              </m:r>
              <m:r>
                <m:rPr>
                  <m:sty m:val="p"/>
                </m:rPr>
                <m:t>+</m:t>
              </m:r>
              <m:r>
                <m:t>2.1</m:t>
              </m:r>
              <m:r>
                <m:rPr>
                  <m:sty m:val="p"/>
                </m:rPr>
                <m:t>%</m:t>
              </m:r>
            </m:lim>
          </m:limUpp>
          <m:borderBox>
            <m:e>
              <m:r>
                <m:rPr>
                  <m:nor/>
                  <m:sty m:val="p"/>
                </m:rPr>
                <m:t>93.5%准确率</m:t>
              </m:r>
            </m:e>
          </m:borderBox>
        </m:oMath>
      </m:oMathPara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语义分段</w:t>
      </w:r>
      <w:r>
        <w:t xml:space="preserve">提升话语完整性，为后续意图识别提供高质量输入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H-DAR</w:t>
      </w:r>
      <w:r>
        <w:t xml:space="preserve">捕捉教学策略细微差异，生成强判别力的35维文本特征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SHAPE</w:t>
      </w:r>
      <w:r>
        <w:t xml:space="preserve">通过跨模态注意力自适应整合三模态信息，实现最佳性能</w:t>
      </w:r>
    </w:p>
    <w:bookmarkEnd w:id="26"/>
    <w:bookmarkStart w:id="27" w:name="本章意义"/>
    <w:p>
      <w:pPr>
        <w:pStyle w:val="Heading3"/>
      </w:pPr>
      <w:r>
        <w:t xml:space="preserve">本章意义</w:t>
      </w:r>
    </w:p>
    <w:p>
      <w:pPr>
        <w:pStyle w:val="FirstParagraph"/>
      </w:pPr>
      <w:r>
        <w:rPr>
          <w:bCs/>
          <w:b/>
        </w:rPr>
        <w:t xml:space="preserve">理论意义</w:t>
      </w:r>
      <w:r>
        <w:t xml:space="preserve">：</w:t>
      </w:r>
      <w:r>
        <w:t xml:space="preserve"> </w:t>
      </w:r>
      <w:r>
        <w:t xml:space="preserve">1. 为课堂分析领域提供了新的方法论框架（语义驱动分段 + 细粒度意图识别 + 跨模态融合）</w:t>
      </w:r>
      <w:r>
        <w:t xml:space="preserve"> </w:t>
      </w:r>
      <w:r>
        <w:t xml:space="preserve">2. 证明了教师风格可以通过多模态特征进行量化识别，准确率达93.5%</w:t>
      </w:r>
    </w:p>
    <w:p>
      <w:pPr>
        <w:pStyle w:val="BodyText"/>
      </w:pPr>
      <w:r>
        <w:rPr>
          <w:bCs/>
          <w:b/>
        </w:rPr>
        <w:t xml:space="preserve">技术贡献</w:t>
      </w:r>
      <w:r>
        <w:t xml:space="preserve">：</w:t>
      </w:r>
      <w:r>
        <w:t xml:space="preserve"> </w:t>
      </w:r>
      <w:r>
        <w:t xml:space="preserve">1. 提出语义驱动分段策略，将语义完整率从76.6%提升至95.3%</w:t>
      </w:r>
      <w:r>
        <w:t xml:space="preserve"> </w:t>
      </w:r>
      <w:r>
        <w:t xml:space="preserve">2. 提出H-DAR层次化10类分类体系，将意图识别F1从0.70提升至0.89</w:t>
      </w:r>
      <w:r>
        <w:t xml:space="preserve"> </w:t>
      </w:r>
      <w:r>
        <w:t xml:space="preserve">3. 提出SHAPE跨模态注意力融合模型，将风格识别准确率从78.3%提升至91.4%</w:t>
      </w:r>
    </w:p>
    <w:p>
      <w:pPr>
        <w:pStyle w:val="BodyText"/>
      </w:pPr>
      <w:r>
        <w:rPr>
          <w:bCs/>
          <w:b/>
        </w:rPr>
        <w:t xml:space="preserve">教育价值</w:t>
      </w:r>
      <w:r>
        <w:t xml:space="preserve">：</w:t>
      </w:r>
      <w:r>
        <w:t xml:space="preserve"> </w:t>
      </w:r>
      <w:r>
        <w:t xml:space="preserve">1. 量化了不同教学风格的多模态特征模式，为教学研究提供了新视角</w:t>
      </w:r>
      <w:r>
        <w:t xml:space="preserve"> </w:t>
      </w:r>
      <w:r>
        <w:t xml:space="preserve">2. 揭示了风格-模态依赖关系（如情感表达型依赖音频0.62），增强了模型可信度</w:t>
      </w:r>
      <w:r>
        <w:t xml:space="preserve"> </w:t>
      </w:r>
      <w:r>
        <w:t xml:space="preserve">3. 提供了实用水平的风格识别工具（93.5%准确率），可支持教学改进</w:t>
      </w:r>
    </w:p>
    <w:p>
      <w:pPr>
        <w:pStyle w:val="BodyText"/>
      </w:pPr>
      <w:r>
        <w:rPr>
          <w:bCs/>
          <w:b/>
        </w:rPr>
        <w:t xml:space="preserve">可解释性</w:t>
      </w:r>
      <w:r>
        <w:t xml:space="preserve">：</w:t>
      </w:r>
      <w:r>
        <w:t xml:space="preserve"> </w:t>
      </w:r>
      <w:r>
        <w:t xml:space="preserve">- 注意力权重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t xml:space="preserve"> </w:t>
      </w:r>
      <w:r>
        <w:t xml:space="preserve">可视化，完整追溯决策依据</w:t>
      </w:r>
      <w:r>
        <w:t xml:space="preserve"> </w:t>
      </w:r>
      <w:r>
        <w:t xml:space="preserve">- SHAP特征归因分析，揭示70维特征的贡献度</w:t>
      </w:r>
      <w:r>
        <w:t xml:space="preserve"> </w:t>
      </w:r>
      <w:r>
        <w:t xml:space="preserve">- 教育语义映射，将模型输出转化为可理解的教育术语</w:t>
      </w:r>
    </w:p>
    <w:p>
      <w:pPr>
        <w:pStyle w:val="BodyText"/>
      </w:pPr>
      <w:r>
        <w:t xml:space="preserve">下一章将在SHAPE引擎的基础上，构建完整的教师风格画像分析系统，展示其在教育场景中的实际应用价值。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2026-02-17T11:11:04Z</dcterms:created>
  <dcterms:modified xsi:type="dcterms:W3CDTF">2026-02-17T11:11:04Z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