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08" w:rsidRPr="0095247D" w:rsidRDefault="00E5130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5247D">
        <w:rPr>
          <w:rFonts w:ascii="Arial" w:hAnsi="Arial" w:cs="Arial"/>
          <w:b/>
          <w:sz w:val="24"/>
          <w:szCs w:val="24"/>
        </w:rPr>
        <w:t>4 – VALIDADE</w:t>
      </w:r>
      <w:proofErr w:type="gramEnd"/>
      <w:r w:rsidRPr="0095247D">
        <w:rPr>
          <w:rFonts w:ascii="Arial" w:hAnsi="Arial" w:cs="Arial"/>
          <w:b/>
          <w:sz w:val="24"/>
          <w:szCs w:val="24"/>
        </w:rPr>
        <w:t xml:space="preserve"> LEGAL DE DOCUMENTOS</w:t>
      </w:r>
    </w:p>
    <w:p w:rsidR="0037362E" w:rsidRPr="00117038" w:rsidRDefault="006030C0" w:rsidP="00117038">
      <w:pPr>
        <w:spacing w:line="48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362E">
        <w:rPr>
          <w:rFonts w:ascii="Arial" w:hAnsi="Arial" w:cs="Arial"/>
          <w:sz w:val="24"/>
          <w:szCs w:val="24"/>
        </w:rPr>
        <w:t>O domínio de registros no Brasil</w:t>
      </w:r>
      <w:r w:rsidR="00E8235E" w:rsidRPr="0037362E">
        <w:rPr>
          <w:rFonts w:ascii="Arial" w:hAnsi="Arial" w:cs="Arial"/>
          <w:sz w:val="24"/>
          <w:szCs w:val="24"/>
        </w:rPr>
        <w:t xml:space="preserve"> como os registros civis, de notas e </w:t>
      </w:r>
      <w:r w:rsidR="00A702FD" w:rsidRPr="0037362E">
        <w:rPr>
          <w:rFonts w:ascii="Arial" w:hAnsi="Arial" w:cs="Arial"/>
          <w:sz w:val="24"/>
          <w:szCs w:val="24"/>
        </w:rPr>
        <w:t>de imó</w:t>
      </w:r>
      <w:r w:rsidRPr="0037362E">
        <w:rPr>
          <w:rFonts w:ascii="Arial" w:hAnsi="Arial" w:cs="Arial"/>
          <w:sz w:val="24"/>
          <w:szCs w:val="24"/>
        </w:rPr>
        <w:t>ve</w:t>
      </w:r>
      <w:r w:rsidR="00A702FD" w:rsidRPr="0037362E">
        <w:rPr>
          <w:rFonts w:ascii="Arial" w:hAnsi="Arial" w:cs="Arial"/>
          <w:sz w:val="24"/>
          <w:szCs w:val="24"/>
        </w:rPr>
        <w:t xml:space="preserve">is é realizado pelos </w:t>
      </w:r>
      <w:proofErr w:type="spellStart"/>
      <w:r w:rsidR="004B47A6" w:rsidRPr="0037362E">
        <w:rPr>
          <w:rFonts w:ascii="Arial" w:hAnsi="Arial" w:cs="Arial"/>
          <w:sz w:val="24"/>
          <w:szCs w:val="24"/>
        </w:rPr>
        <w:t>tabeliões</w:t>
      </w:r>
      <w:proofErr w:type="spellEnd"/>
      <w:r w:rsidR="00A702FD" w:rsidRPr="0037362E">
        <w:rPr>
          <w:rFonts w:ascii="Arial" w:hAnsi="Arial" w:cs="Arial"/>
          <w:sz w:val="24"/>
          <w:szCs w:val="24"/>
        </w:rPr>
        <w:t xml:space="preserve"> d</w:t>
      </w:r>
      <w:r w:rsidRPr="0037362E">
        <w:rPr>
          <w:rFonts w:ascii="Arial" w:hAnsi="Arial" w:cs="Arial"/>
          <w:sz w:val="24"/>
          <w:szCs w:val="24"/>
        </w:rPr>
        <w:t>os cartórios</w:t>
      </w:r>
      <w:r w:rsidR="00E8235E" w:rsidRPr="0037362E">
        <w:rPr>
          <w:rFonts w:ascii="Arial" w:hAnsi="Arial" w:cs="Arial"/>
          <w:sz w:val="24"/>
          <w:szCs w:val="24"/>
        </w:rPr>
        <w:t xml:space="preserve"> e apesar da credibilidade dessas </w:t>
      </w:r>
      <w:r w:rsidR="004B47A6" w:rsidRPr="0037362E">
        <w:rPr>
          <w:rFonts w:ascii="Arial" w:hAnsi="Arial" w:cs="Arial"/>
          <w:sz w:val="24"/>
          <w:szCs w:val="24"/>
        </w:rPr>
        <w:t>instituições</w:t>
      </w:r>
      <w:r w:rsidR="00E8235E" w:rsidRPr="0037362E">
        <w:rPr>
          <w:rFonts w:ascii="Arial" w:hAnsi="Arial" w:cs="Arial"/>
          <w:sz w:val="24"/>
          <w:szCs w:val="24"/>
        </w:rPr>
        <w:t xml:space="preserve"> serem duvidosas pela população, são essas entidades as responsáveis pela autenticação</w:t>
      </w:r>
      <w:r w:rsidRPr="0037362E">
        <w:rPr>
          <w:rFonts w:ascii="Arial" w:hAnsi="Arial" w:cs="Arial"/>
          <w:sz w:val="24"/>
          <w:szCs w:val="24"/>
        </w:rPr>
        <w:t xml:space="preserve"> </w:t>
      </w:r>
      <w:r w:rsidR="00E8235E" w:rsidRPr="0037362E">
        <w:rPr>
          <w:rFonts w:ascii="Arial" w:hAnsi="Arial" w:cs="Arial"/>
          <w:sz w:val="24"/>
          <w:szCs w:val="24"/>
        </w:rPr>
        <w:t xml:space="preserve">de documentos </w:t>
      </w:r>
      <w:r w:rsidR="00E421F1" w:rsidRPr="0037362E">
        <w:rPr>
          <w:rFonts w:ascii="Arial" w:hAnsi="Arial" w:cs="Arial"/>
          <w:sz w:val="24"/>
          <w:szCs w:val="24"/>
        </w:rPr>
        <w:t>físicos</w:t>
      </w:r>
      <w:r w:rsidR="00E8235E" w:rsidRPr="0037362E">
        <w:rPr>
          <w:rFonts w:ascii="Arial" w:hAnsi="Arial" w:cs="Arial"/>
          <w:sz w:val="24"/>
          <w:szCs w:val="24"/>
        </w:rPr>
        <w:t>.</w:t>
      </w:r>
      <w:r w:rsidR="00E421F1" w:rsidRPr="0037362E">
        <w:rPr>
          <w:rFonts w:ascii="Arial" w:hAnsi="Arial" w:cs="Arial"/>
          <w:sz w:val="24"/>
          <w:szCs w:val="24"/>
        </w:rPr>
        <w:t xml:space="preserve"> </w:t>
      </w:r>
      <w:r w:rsidR="00E8235E" w:rsidRPr="0037362E">
        <w:rPr>
          <w:rFonts w:ascii="Arial" w:hAnsi="Arial" w:cs="Arial"/>
          <w:sz w:val="24"/>
          <w:szCs w:val="24"/>
        </w:rPr>
        <w:t xml:space="preserve">O mundo virtual, por sua vez, </w:t>
      </w:r>
      <w:r w:rsidR="00AD7FAC" w:rsidRPr="0037362E">
        <w:rPr>
          <w:rFonts w:ascii="Arial" w:hAnsi="Arial" w:cs="Arial"/>
          <w:sz w:val="24"/>
          <w:szCs w:val="24"/>
        </w:rPr>
        <w:t>devido ao avanço tecnológico</w:t>
      </w:r>
      <w:r w:rsidR="00A702FD" w:rsidRPr="0037362E">
        <w:rPr>
          <w:rFonts w:ascii="Arial" w:hAnsi="Arial" w:cs="Arial"/>
          <w:sz w:val="24"/>
          <w:szCs w:val="24"/>
        </w:rPr>
        <w:t xml:space="preserve">, </w:t>
      </w:r>
      <w:r w:rsidR="004B47A6" w:rsidRPr="0037362E">
        <w:rPr>
          <w:rFonts w:ascii="Arial" w:hAnsi="Arial" w:cs="Arial"/>
          <w:sz w:val="24"/>
          <w:szCs w:val="24"/>
        </w:rPr>
        <w:t xml:space="preserve">se faz necessário </w:t>
      </w:r>
      <w:r w:rsidR="00AD7FAC" w:rsidRPr="0037362E">
        <w:rPr>
          <w:rFonts w:ascii="Arial" w:hAnsi="Arial" w:cs="Arial"/>
          <w:sz w:val="24"/>
          <w:szCs w:val="24"/>
        </w:rPr>
        <w:t xml:space="preserve">a </w:t>
      </w:r>
      <w:r w:rsidR="004B47A6" w:rsidRPr="0037362E">
        <w:rPr>
          <w:rFonts w:ascii="Arial" w:hAnsi="Arial" w:cs="Arial"/>
          <w:sz w:val="24"/>
          <w:szCs w:val="24"/>
        </w:rPr>
        <w:t xml:space="preserve">popularização da substituição de procedimentos tradicionais por procedimentos </w:t>
      </w:r>
      <w:r w:rsidR="001843C5" w:rsidRPr="0037362E">
        <w:rPr>
          <w:rFonts w:ascii="Arial" w:hAnsi="Arial" w:cs="Arial"/>
          <w:sz w:val="24"/>
          <w:szCs w:val="24"/>
        </w:rPr>
        <w:t>computador</w:t>
      </w:r>
      <w:r w:rsidR="004B47A6" w:rsidRPr="0037362E">
        <w:rPr>
          <w:rFonts w:ascii="Arial" w:hAnsi="Arial" w:cs="Arial"/>
          <w:sz w:val="24"/>
          <w:szCs w:val="24"/>
        </w:rPr>
        <w:t>izados</w:t>
      </w:r>
      <w:r w:rsidR="001843C5" w:rsidRPr="0037362E">
        <w:rPr>
          <w:rFonts w:ascii="Arial" w:hAnsi="Arial" w:cs="Arial"/>
          <w:sz w:val="24"/>
          <w:szCs w:val="24"/>
        </w:rPr>
        <w:t xml:space="preserve"> </w:t>
      </w:r>
      <w:r w:rsidR="004B47A6" w:rsidRPr="0037362E">
        <w:rPr>
          <w:rFonts w:ascii="Arial" w:hAnsi="Arial" w:cs="Arial"/>
          <w:sz w:val="24"/>
          <w:szCs w:val="24"/>
        </w:rPr>
        <w:t xml:space="preserve">a fim de </w:t>
      </w:r>
      <w:r w:rsidR="001843C5" w:rsidRPr="0037362E">
        <w:rPr>
          <w:rFonts w:ascii="Arial" w:hAnsi="Arial" w:cs="Arial"/>
          <w:sz w:val="24"/>
          <w:szCs w:val="24"/>
        </w:rPr>
        <w:t>realizar tarefas cotidianas</w:t>
      </w:r>
      <w:r w:rsidR="00AD7FAC" w:rsidRPr="0037362E">
        <w:rPr>
          <w:rFonts w:ascii="Arial" w:hAnsi="Arial" w:cs="Arial"/>
          <w:sz w:val="24"/>
          <w:szCs w:val="24"/>
        </w:rPr>
        <w:t xml:space="preserve"> devido a sua praticidade e viabilidade no dia-a-dia das pessoas, como </w:t>
      </w:r>
      <w:proofErr w:type="gramStart"/>
      <w:r w:rsidR="00AD7FAC" w:rsidRPr="0037362E">
        <w:rPr>
          <w:rFonts w:ascii="Arial" w:hAnsi="Arial" w:cs="Arial"/>
          <w:sz w:val="24"/>
          <w:szCs w:val="24"/>
        </w:rPr>
        <w:t>por exemplo</w:t>
      </w:r>
      <w:proofErr w:type="gramEnd"/>
      <w:r w:rsidR="00AD7FAC" w:rsidRPr="0037362E">
        <w:rPr>
          <w:rFonts w:ascii="Arial" w:hAnsi="Arial" w:cs="Arial"/>
          <w:sz w:val="24"/>
          <w:szCs w:val="24"/>
        </w:rPr>
        <w:t xml:space="preserve"> a nota fiscal eletrônica</w:t>
      </w:r>
      <w:r w:rsidR="001843C5" w:rsidRPr="0037362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843C5" w:rsidRPr="0037362E">
        <w:rPr>
          <w:rFonts w:ascii="Arial" w:hAnsi="Arial" w:cs="Arial"/>
          <w:sz w:val="24"/>
          <w:szCs w:val="24"/>
        </w:rPr>
        <w:t>NF-e</w:t>
      </w:r>
      <w:proofErr w:type="spellEnd"/>
      <w:r w:rsidR="001843C5" w:rsidRPr="0037362E">
        <w:rPr>
          <w:rFonts w:ascii="Arial" w:hAnsi="Arial" w:cs="Arial"/>
          <w:sz w:val="24"/>
          <w:szCs w:val="24"/>
        </w:rPr>
        <w:t>)</w:t>
      </w:r>
      <w:r w:rsidR="00AD7FAC" w:rsidRPr="0037362E">
        <w:rPr>
          <w:rFonts w:ascii="Arial" w:hAnsi="Arial" w:cs="Arial"/>
          <w:sz w:val="24"/>
          <w:szCs w:val="24"/>
        </w:rPr>
        <w:t xml:space="preserve"> </w:t>
      </w:r>
      <w:r w:rsidR="001843C5" w:rsidRPr="0037362E">
        <w:rPr>
          <w:rFonts w:ascii="Arial" w:hAnsi="Arial" w:cs="Arial"/>
          <w:sz w:val="24"/>
          <w:szCs w:val="24"/>
        </w:rPr>
        <w:t xml:space="preserve">que já é obrigatória em empresas de </w:t>
      </w:r>
      <w:r w:rsidR="001843C5" w:rsidRPr="0037362E">
        <w:rPr>
          <w:rFonts w:ascii="Arial" w:hAnsi="Arial" w:cs="Arial"/>
          <w:color w:val="000000" w:themeColor="text1"/>
          <w:sz w:val="24"/>
          <w:szCs w:val="24"/>
        </w:rPr>
        <w:t xml:space="preserve">vários ramos </w:t>
      </w:r>
      <w:r w:rsidR="00AD7FAC" w:rsidRPr="0037362E">
        <w:rPr>
          <w:rFonts w:ascii="Arial" w:hAnsi="Arial" w:cs="Arial"/>
          <w:color w:val="000000" w:themeColor="text1"/>
          <w:sz w:val="24"/>
          <w:szCs w:val="24"/>
        </w:rPr>
        <w:t xml:space="preserve">e o certificado digital. O </w:t>
      </w:r>
      <w:r w:rsidR="00870E3B" w:rsidRPr="0037362E">
        <w:rPr>
          <w:rFonts w:ascii="Arial" w:hAnsi="Arial" w:cs="Arial"/>
          <w:color w:val="000000" w:themeColor="text1"/>
          <w:sz w:val="24"/>
          <w:szCs w:val="24"/>
        </w:rPr>
        <w:t xml:space="preserve">conceito de </w:t>
      </w:r>
      <w:r w:rsidR="00AD7FAC" w:rsidRPr="0037362E">
        <w:rPr>
          <w:rFonts w:ascii="Arial" w:hAnsi="Arial" w:cs="Arial"/>
          <w:color w:val="000000" w:themeColor="text1"/>
          <w:sz w:val="24"/>
          <w:szCs w:val="24"/>
        </w:rPr>
        <w:t xml:space="preserve">certificado </w:t>
      </w:r>
      <w:r w:rsidR="00870E3B" w:rsidRPr="0037362E">
        <w:rPr>
          <w:rFonts w:ascii="Arial" w:hAnsi="Arial" w:cs="Arial"/>
          <w:color w:val="000000" w:themeColor="text1"/>
          <w:sz w:val="24"/>
          <w:szCs w:val="24"/>
        </w:rPr>
        <w:t xml:space="preserve">e assinatura digital </w:t>
      </w:r>
      <w:r w:rsidR="00AD7FAC" w:rsidRPr="0037362E">
        <w:rPr>
          <w:rFonts w:ascii="Arial" w:hAnsi="Arial" w:cs="Arial"/>
          <w:color w:val="000000" w:themeColor="text1"/>
          <w:sz w:val="24"/>
          <w:szCs w:val="24"/>
        </w:rPr>
        <w:t xml:space="preserve">ainda não é tão difundido quanto deveria, mas é importante </w:t>
      </w:r>
      <w:r w:rsidR="001843C5" w:rsidRPr="0037362E">
        <w:rPr>
          <w:rFonts w:ascii="Arial" w:hAnsi="Arial" w:cs="Arial"/>
          <w:color w:val="000000" w:themeColor="text1"/>
          <w:sz w:val="24"/>
          <w:szCs w:val="24"/>
        </w:rPr>
        <w:t>que seja</w:t>
      </w:r>
      <w:r w:rsidR="00AD7FAC" w:rsidRPr="0037362E">
        <w:rPr>
          <w:rFonts w:ascii="Arial" w:hAnsi="Arial" w:cs="Arial"/>
          <w:color w:val="000000" w:themeColor="text1"/>
          <w:sz w:val="24"/>
          <w:szCs w:val="24"/>
        </w:rPr>
        <w:t>, principalmente</w:t>
      </w:r>
      <w:r w:rsidR="001843C5" w:rsidRPr="0037362E">
        <w:rPr>
          <w:rFonts w:ascii="Arial" w:hAnsi="Arial" w:cs="Arial"/>
          <w:color w:val="000000" w:themeColor="text1"/>
          <w:sz w:val="24"/>
          <w:szCs w:val="24"/>
        </w:rPr>
        <w:t xml:space="preserve"> no âmbito de e-commerce e transações bancárias</w:t>
      </w:r>
      <w:r w:rsidR="00870E3B" w:rsidRPr="0037362E">
        <w:rPr>
          <w:rFonts w:ascii="Arial" w:hAnsi="Arial" w:cs="Arial"/>
          <w:color w:val="000000" w:themeColor="text1"/>
          <w:sz w:val="24"/>
          <w:szCs w:val="24"/>
        </w:rPr>
        <w:t>, pois traz mais segurança e praticidade ao usuário e à empresa, bem como a relevância do custo-benefício</w:t>
      </w:r>
      <w:r w:rsidR="001843C5" w:rsidRPr="0037362E">
        <w:rPr>
          <w:rFonts w:ascii="Arial" w:hAnsi="Arial" w:cs="Arial"/>
          <w:color w:val="000000" w:themeColor="text1"/>
          <w:sz w:val="24"/>
          <w:szCs w:val="24"/>
        </w:rPr>
        <w:t>.</w:t>
      </w:r>
      <w:r w:rsidR="00AD7FAC" w:rsidRPr="00373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B4A28" w:rsidRPr="0037362E">
        <w:rPr>
          <w:rFonts w:ascii="Arial" w:hAnsi="Arial" w:cs="Arial"/>
          <w:color w:val="000000" w:themeColor="text1"/>
          <w:sz w:val="24"/>
          <w:szCs w:val="24"/>
        </w:rPr>
        <w:t xml:space="preserve">A certificação digital é </w:t>
      </w:r>
      <w:r w:rsidR="003A680E" w:rsidRPr="00117038">
        <w:rPr>
          <w:rFonts w:ascii="Arial" w:hAnsi="Arial" w:cs="Arial"/>
          <w:color w:val="000000" w:themeColor="text1"/>
          <w:sz w:val="24"/>
          <w:szCs w:val="24"/>
        </w:rPr>
        <w:t xml:space="preserve">então, </w:t>
      </w:r>
      <w:r w:rsidR="00AB4A28" w:rsidRPr="00117038">
        <w:rPr>
          <w:rFonts w:ascii="Arial" w:hAnsi="Arial" w:cs="Arial"/>
          <w:color w:val="000000" w:themeColor="text1"/>
          <w:sz w:val="24"/>
          <w:szCs w:val="24"/>
        </w:rPr>
        <w:t xml:space="preserve">uma inovação tecnológica </w:t>
      </w:r>
      <w:r w:rsidR="004B47A6" w:rsidRPr="00117038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3A680E" w:rsidRPr="00117038">
        <w:rPr>
          <w:rFonts w:ascii="Arial" w:hAnsi="Arial" w:cs="Arial"/>
          <w:color w:val="000000" w:themeColor="text1"/>
          <w:sz w:val="24"/>
          <w:szCs w:val="24"/>
        </w:rPr>
        <w:t>objetiva</w:t>
      </w:r>
      <w:r w:rsidR="00AB4A28" w:rsidRPr="00117038">
        <w:rPr>
          <w:rFonts w:ascii="Arial" w:hAnsi="Arial" w:cs="Arial"/>
          <w:color w:val="000000" w:themeColor="text1"/>
          <w:sz w:val="24"/>
          <w:szCs w:val="24"/>
        </w:rPr>
        <w:t xml:space="preserve"> simplifica</w:t>
      </w:r>
      <w:r w:rsidR="003A680E" w:rsidRPr="00117038">
        <w:rPr>
          <w:rFonts w:ascii="Arial" w:hAnsi="Arial" w:cs="Arial"/>
          <w:color w:val="000000" w:themeColor="text1"/>
          <w:sz w:val="24"/>
          <w:szCs w:val="24"/>
        </w:rPr>
        <w:t>r</w:t>
      </w:r>
      <w:r w:rsidR="00AB4A28" w:rsidRPr="00117038">
        <w:rPr>
          <w:rFonts w:ascii="Arial" w:hAnsi="Arial" w:cs="Arial"/>
          <w:color w:val="000000" w:themeColor="text1"/>
          <w:sz w:val="24"/>
          <w:szCs w:val="24"/>
        </w:rPr>
        <w:t xml:space="preserve"> a vi</w:t>
      </w:r>
      <w:r w:rsidR="00870E3B" w:rsidRPr="00117038">
        <w:rPr>
          <w:rFonts w:ascii="Arial" w:hAnsi="Arial" w:cs="Arial"/>
          <w:color w:val="000000" w:themeColor="text1"/>
          <w:sz w:val="24"/>
          <w:szCs w:val="24"/>
        </w:rPr>
        <w:t>da do cidadão</w:t>
      </w:r>
      <w:r w:rsidR="003A680E" w:rsidRPr="00117038">
        <w:rPr>
          <w:rFonts w:ascii="Arial" w:hAnsi="Arial" w:cs="Arial"/>
          <w:color w:val="000000" w:themeColor="text1"/>
          <w:sz w:val="24"/>
          <w:szCs w:val="24"/>
        </w:rPr>
        <w:t xml:space="preserve"> ou da empresa.</w:t>
      </w:r>
    </w:p>
    <w:p w:rsidR="00FF3140" w:rsidRPr="00117038" w:rsidRDefault="00C672A0" w:rsidP="00117038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7038">
        <w:rPr>
          <w:rFonts w:ascii="Arial" w:hAnsi="Arial" w:cs="Arial"/>
          <w:color w:val="000000" w:themeColor="text1"/>
          <w:sz w:val="24"/>
          <w:szCs w:val="24"/>
        </w:rPr>
        <w:t>Muitos ordenamentos jurídicos não estavam preparados para essa expansão tecnológica, pois tudo era feito</w:t>
      </w:r>
      <w:r w:rsidRPr="00117038">
        <w:rPr>
          <w:rFonts w:ascii="Arial" w:hAnsi="Arial" w:cs="Arial"/>
          <w:sz w:val="24"/>
          <w:szCs w:val="24"/>
        </w:rPr>
        <w:t xml:space="preserve"> no papel. Assim, muitos questionam a validade dos documentos digitais, uma vez que é preciso os países </w:t>
      </w:r>
      <w:proofErr w:type="gramStart"/>
      <w:r w:rsidRPr="00117038">
        <w:rPr>
          <w:rFonts w:ascii="Arial" w:hAnsi="Arial" w:cs="Arial"/>
          <w:sz w:val="24"/>
          <w:szCs w:val="24"/>
        </w:rPr>
        <w:t>reformularem</w:t>
      </w:r>
      <w:proofErr w:type="gramEnd"/>
      <w:r w:rsidRPr="00117038">
        <w:rPr>
          <w:rFonts w:ascii="Arial" w:hAnsi="Arial" w:cs="Arial"/>
          <w:sz w:val="24"/>
          <w:szCs w:val="24"/>
        </w:rPr>
        <w:t xml:space="preserve"> suas leis para se adequar à essa nova realidade e dar amparo </w:t>
      </w:r>
      <w:r w:rsidR="0037362E" w:rsidRPr="00117038">
        <w:rPr>
          <w:rFonts w:ascii="Arial" w:hAnsi="Arial" w:cs="Arial"/>
          <w:sz w:val="24"/>
          <w:szCs w:val="24"/>
        </w:rPr>
        <w:t>a essa legislação.Ferramentas de apoio estão sendo criadas com a finalidade de impedir ataques às redes e também sistemas protetores contra operações ilegais.As ferramentas mencionadas se estendem desde a criação de leis específicas, até recursos técnicos, que impeçam as possíveis fraudes, não deixando de mencionar o sistema de criptografia, que é amplamente utilizado.</w:t>
      </w:r>
    </w:p>
    <w:p w:rsidR="00117038" w:rsidRPr="00117038" w:rsidRDefault="00FF3140" w:rsidP="00117038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lastRenderedPageBreak/>
        <w:t xml:space="preserve">Se a preocupação que existe é quanto à segurança dos documentos digitais, com uma nova legislação é certo que a realidade social se torna outra, pois se conferidos pela lei mecanismos que garantam a segurança nas transações, logicamente esses documentos terão como atributo a validade jurídica, principalmente como meio de prova de fato </w:t>
      </w:r>
      <w:proofErr w:type="gramStart"/>
      <w:r w:rsidRPr="00117038">
        <w:rPr>
          <w:rFonts w:ascii="Arial" w:hAnsi="Arial" w:cs="Arial"/>
        </w:rPr>
        <w:t>jurídico.</w:t>
      </w:r>
      <w:proofErr w:type="gramEnd"/>
      <w:r w:rsidR="00117038" w:rsidRPr="00117038">
        <w:rPr>
          <w:rFonts w:ascii="Arial" w:hAnsi="Arial" w:cs="Arial"/>
        </w:rPr>
        <w:t xml:space="preserve">O Direito não acompanha de forma imediata a evolução social, econômica e tecnológica, estando sempre retardatário perante os acontecimentos da sociedade.O maior pensador contemporâneo do mundo dos negócios, Peter </w:t>
      </w:r>
      <w:proofErr w:type="spellStart"/>
      <w:r w:rsidR="00117038" w:rsidRPr="00117038">
        <w:rPr>
          <w:rFonts w:ascii="Arial" w:hAnsi="Arial" w:cs="Arial"/>
        </w:rPr>
        <w:t>Drucker</w:t>
      </w:r>
      <w:proofErr w:type="spellEnd"/>
      <w:r w:rsidR="00117038" w:rsidRPr="00117038">
        <w:rPr>
          <w:rFonts w:ascii="Arial" w:hAnsi="Arial" w:cs="Arial"/>
        </w:rPr>
        <w:t>, sintetiza que:</w:t>
      </w:r>
    </w:p>
    <w:p w:rsidR="00117038" w:rsidRPr="00117038" w:rsidRDefault="00117038" w:rsidP="00117038">
      <w:pPr>
        <w:pStyle w:val="tj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17038">
        <w:rPr>
          <w:rFonts w:ascii="Arial" w:hAnsi="Arial" w:cs="Arial"/>
        </w:rPr>
        <w:t>A Revolução da Informação se encontra no ponto em que a Revolução Industrial estava no início da década de 1820, cerca de 40 anos depois de a máquina a vapor se aperfeiçoar por James Watt. E a máquina a vapor era para a Revolução Industrial aquilo que o computador vem sendo pra a Revolução da Informação</w:t>
      </w:r>
      <w:r>
        <w:rPr>
          <w:rFonts w:ascii="Arial" w:hAnsi="Arial" w:cs="Arial"/>
        </w:rPr>
        <w:t>.”</w:t>
      </w:r>
    </w:p>
    <w:p w:rsidR="00117038" w:rsidRPr="00117038" w:rsidRDefault="00117038" w:rsidP="00117038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 xml:space="preserve">Augusto T. R. </w:t>
      </w:r>
      <w:proofErr w:type="spellStart"/>
      <w:r w:rsidRPr="00117038">
        <w:rPr>
          <w:rFonts w:ascii="Arial" w:hAnsi="Arial" w:cs="Arial"/>
        </w:rPr>
        <w:t>Marcacini</w:t>
      </w:r>
      <w:proofErr w:type="spellEnd"/>
      <w:r w:rsidRPr="00117038">
        <w:rPr>
          <w:rFonts w:ascii="Arial" w:hAnsi="Arial" w:cs="Arial"/>
        </w:rPr>
        <w:t xml:space="preserve"> enfoca as mudanças sociais decorrentes da revolução tecnológica:</w:t>
      </w:r>
    </w:p>
    <w:p w:rsidR="00117038" w:rsidRPr="00117038" w:rsidRDefault="00117038" w:rsidP="00117038">
      <w:pPr>
        <w:pStyle w:val="tj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17038">
        <w:rPr>
          <w:rFonts w:ascii="Arial" w:hAnsi="Arial" w:cs="Arial"/>
        </w:rPr>
        <w:t xml:space="preserve">O progresso da ciência sempre traz consigo uma mudança nos hábitos e comportamentos das pessoas. E destes novos relacionamentos humanos surgem novas relações jurídicas, ou novos fatos jurídicos a </w:t>
      </w:r>
      <w:proofErr w:type="gramStart"/>
      <w:r w:rsidRPr="00117038">
        <w:rPr>
          <w:rFonts w:ascii="Arial" w:hAnsi="Arial" w:cs="Arial"/>
        </w:rPr>
        <w:t>serem</w:t>
      </w:r>
      <w:proofErr w:type="gramEnd"/>
      <w:r w:rsidRPr="00117038">
        <w:rPr>
          <w:rFonts w:ascii="Arial" w:hAnsi="Arial" w:cs="Arial"/>
        </w:rPr>
        <w:t xml:space="preserve"> objeto de regulação por parte do Direito. Nunca, porém, o avanço da tecnologia se fez tão presente no cotidiano como ocorre nos dias de hoje, com a informática.</w:t>
      </w:r>
      <w:r>
        <w:rPr>
          <w:rFonts w:ascii="Arial" w:hAnsi="Arial" w:cs="Arial"/>
        </w:rPr>
        <w:t>”</w:t>
      </w:r>
    </w:p>
    <w:p w:rsidR="004A6376" w:rsidRDefault="004A6376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17038" w:rsidRPr="0095247D" w:rsidRDefault="0011703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5247D">
        <w:rPr>
          <w:rFonts w:ascii="Arial" w:hAnsi="Arial" w:cs="Arial"/>
          <w:b/>
          <w:sz w:val="24"/>
          <w:szCs w:val="24"/>
        </w:rPr>
        <w:t>4.1 – A ASSINATURA MANUSCRITA</w:t>
      </w:r>
    </w:p>
    <w:p w:rsidR="00FF3140" w:rsidRPr="00117038" w:rsidRDefault="00FF3140" w:rsidP="008762C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3140">
        <w:rPr>
          <w:rFonts w:ascii="Arial" w:hAnsi="Arial" w:cs="Arial"/>
          <w:sz w:val="24"/>
          <w:szCs w:val="24"/>
        </w:rPr>
        <w:lastRenderedPageBreak/>
        <w:t xml:space="preserve">Os registros eletrônicos, para que </w:t>
      </w:r>
      <w:r w:rsidR="0095247D">
        <w:rPr>
          <w:rFonts w:ascii="Arial" w:hAnsi="Arial" w:cs="Arial"/>
          <w:sz w:val="24"/>
          <w:szCs w:val="24"/>
        </w:rPr>
        <w:t xml:space="preserve">tenham </w:t>
      </w:r>
      <w:r w:rsidRPr="00FF3140">
        <w:rPr>
          <w:rFonts w:ascii="Arial" w:hAnsi="Arial" w:cs="Arial"/>
          <w:sz w:val="24"/>
          <w:szCs w:val="24"/>
        </w:rPr>
        <w:t xml:space="preserve">o mesmo nível de reconhecimento legal, </w:t>
      </w:r>
      <w:r w:rsidRPr="00117038">
        <w:rPr>
          <w:rFonts w:ascii="Arial" w:hAnsi="Arial" w:cs="Arial"/>
          <w:sz w:val="24"/>
          <w:szCs w:val="24"/>
        </w:rPr>
        <w:t>devem satisfazer, no mínimo, o exato grau de segurança que os do</w:t>
      </w:r>
      <w:r w:rsidR="0095247D">
        <w:rPr>
          <w:rFonts w:ascii="Arial" w:hAnsi="Arial" w:cs="Arial"/>
          <w:sz w:val="24"/>
          <w:szCs w:val="24"/>
        </w:rPr>
        <w:t xml:space="preserve">cumentos em papel. </w:t>
      </w:r>
      <w:r w:rsidRPr="00117038">
        <w:rPr>
          <w:rFonts w:ascii="Arial" w:hAnsi="Arial" w:cs="Arial"/>
          <w:sz w:val="24"/>
          <w:szCs w:val="24"/>
        </w:rPr>
        <w:t xml:space="preserve">Em síntese, podemos dizer que esse modelo, </w:t>
      </w:r>
      <w:r w:rsidR="0095247D">
        <w:rPr>
          <w:rFonts w:ascii="Arial" w:hAnsi="Arial" w:cs="Arial"/>
          <w:sz w:val="24"/>
          <w:szCs w:val="24"/>
        </w:rPr>
        <w:t>deve estabelecer</w:t>
      </w:r>
      <w:r w:rsidRPr="00117038">
        <w:rPr>
          <w:rFonts w:ascii="Arial" w:hAnsi="Arial" w:cs="Arial"/>
          <w:sz w:val="24"/>
          <w:szCs w:val="24"/>
        </w:rPr>
        <w:t xml:space="preserve"> uma série de requisitos que permitem que um documento digital tenha função equivalente ao documento escrito, assinado e original.</w:t>
      </w:r>
    </w:p>
    <w:p w:rsidR="00117038" w:rsidRPr="00117038" w:rsidRDefault="0095247D" w:rsidP="0095247D">
      <w:pPr>
        <w:pStyle w:val="tj"/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motivo da criação de novos regulamentos, é que a informação está diretamente ligada à documentação</w:t>
      </w:r>
      <w:r w:rsidR="00117038" w:rsidRPr="00117038">
        <w:rPr>
          <w:rFonts w:ascii="Arial" w:hAnsi="Arial" w:cs="Arial"/>
        </w:rPr>
        <w:t xml:space="preserve">, que aos poucos deixa de ser escrita para assumir a forma digital. Ante o volume e a necessidade de recuperação e disseminação das informações, o uso do papel começa a nos </w:t>
      </w:r>
      <w:r>
        <w:rPr>
          <w:rFonts w:ascii="Arial" w:hAnsi="Arial" w:cs="Arial"/>
        </w:rPr>
        <w:t>mostrar</w:t>
      </w:r>
      <w:r w:rsidR="00117038" w:rsidRPr="00117038">
        <w:rPr>
          <w:rFonts w:ascii="Arial" w:hAnsi="Arial" w:cs="Arial"/>
        </w:rPr>
        <w:t xml:space="preserve"> suas limitações.</w:t>
      </w:r>
      <w:r>
        <w:rPr>
          <w:rFonts w:ascii="Arial" w:hAnsi="Arial" w:cs="Arial"/>
        </w:rPr>
        <w:t xml:space="preserve"> Os</w:t>
      </w:r>
      <w:r w:rsidR="00117038" w:rsidRPr="00117038">
        <w:rPr>
          <w:rFonts w:ascii="Arial" w:hAnsi="Arial" w:cs="Arial"/>
        </w:rPr>
        <w:t xml:space="preserve"> documentos impressos estão sendo gradualmente substituídos por arquivos eletrônicos, mesmo diante do fato de que por mais de quinhentos anos todos os conhecimentos humanos e as informações foram armazenados em documentos de papel.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 xml:space="preserve">Segundo Bill Gates, as companhias de sucesso no futuro serão as que utilizarem ferramentas digitais para reinventar sua maneira de trabalhar, convertendo os documentos de papel em arquivos digitais. </w:t>
      </w:r>
      <w:proofErr w:type="gramStart"/>
      <w:r w:rsidRPr="00117038">
        <w:rPr>
          <w:rFonts w:ascii="Arial" w:hAnsi="Arial" w:cs="Arial"/>
        </w:rPr>
        <w:t>A respeito</w:t>
      </w:r>
      <w:proofErr w:type="gramEnd"/>
      <w:r w:rsidRPr="00117038">
        <w:rPr>
          <w:rFonts w:ascii="Arial" w:hAnsi="Arial" w:cs="Arial"/>
        </w:rPr>
        <w:t>, o mesmo autor assegura que:</w:t>
      </w:r>
    </w:p>
    <w:p w:rsidR="00117038" w:rsidRPr="00117038" w:rsidRDefault="0095247D" w:rsidP="008762C0">
      <w:pPr>
        <w:pStyle w:val="tj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17038" w:rsidRPr="00117038">
        <w:rPr>
          <w:rFonts w:ascii="Arial" w:hAnsi="Arial" w:cs="Arial"/>
        </w:rPr>
        <w:t xml:space="preserve">O papel estará conosco infinitamente, mas sua importância como meio de encontrar, preservar e distribuir informação já está </w:t>
      </w:r>
      <w:proofErr w:type="gramStart"/>
      <w:r w:rsidR="00117038" w:rsidRPr="00117038">
        <w:rPr>
          <w:rFonts w:ascii="Arial" w:hAnsi="Arial" w:cs="Arial"/>
        </w:rPr>
        <w:t>diminuindo(</w:t>
      </w:r>
      <w:proofErr w:type="gramEnd"/>
      <w:r w:rsidR="00117038" w:rsidRPr="00117038">
        <w:rPr>
          <w:rFonts w:ascii="Arial" w:hAnsi="Arial" w:cs="Arial"/>
        </w:rPr>
        <w:t>...) À medida que os documentos ficarem mais flexíveis, mais ricos de conteúdo de multimídia e menos presos ao papel, as formas de colaboração e comunicação entre as pessoas se tornarão mais ricas e menos amarradas ao local onde estão instaladas</w:t>
      </w:r>
      <w:r>
        <w:rPr>
          <w:rFonts w:ascii="Arial" w:hAnsi="Arial" w:cs="Arial"/>
        </w:rPr>
        <w:t>.”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lastRenderedPageBreak/>
        <w:t>Temos de ter consciência de que o amadurecimento das tecnologias de digitalização dos documentos deve reduzir muito o uso do papel, mas dificilmente irá eliminá-lo.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 xml:space="preserve">O documento eletrônico está sendo amplamente na </w:t>
      </w:r>
      <w:r w:rsidRPr="00117038">
        <w:rPr>
          <w:rFonts w:ascii="Arial" w:hAnsi="Arial" w:cs="Arial"/>
          <w:i/>
          <w:iCs/>
        </w:rPr>
        <w:t>Internet,</w:t>
      </w:r>
      <w:r w:rsidRPr="00117038">
        <w:rPr>
          <w:rFonts w:ascii="Arial" w:hAnsi="Arial" w:cs="Arial"/>
        </w:rPr>
        <w:t xml:space="preserve"> que possibilita a mobilidade das informações necessárias para que o comércio eletrônico se desenvolva e gere inúmeras transações, efetivando os modernos negócios jurídicos.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 xml:space="preserve">Os recursos eletrônicos, em alguns casos, suprimem as reais limitações verificadas com o uso da documentação tradicional, que é o papel, tornando o documento mais seguro, confiável e seu armazenamento e </w:t>
      </w:r>
      <w:proofErr w:type="gramStart"/>
      <w:r w:rsidRPr="00117038">
        <w:rPr>
          <w:rFonts w:ascii="Arial" w:hAnsi="Arial" w:cs="Arial"/>
        </w:rPr>
        <w:t>recuperação mais bem administrados, bem como sua transmissão eficiente, rápida e segura</w:t>
      </w:r>
      <w:proofErr w:type="gramEnd"/>
      <w:r w:rsidRPr="00117038">
        <w:rPr>
          <w:rFonts w:ascii="Arial" w:hAnsi="Arial" w:cs="Arial"/>
        </w:rPr>
        <w:t>.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>O trabalho com documentos digitais tende a ser mais fácil do que com o papel, permitindo que possamos transmitir informações de forma instantânea e recebê-la de volta quase que de imediato. Por isso, as organizações estão substituindo o papel pelo armazenamento eletrônico de documentos em redes, permitindo cada vez mais agilidade na obtenção da informação.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>A diferença básica entre o documento tradicional e o documento eletrônico consiste na sua forma de materialização.</w:t>
      </w:r>
    </w:p>
    <w:p w:rsidR="00117038" w:rsidRPr="00117038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t>O documento tradicional está descrito em nosso ordenamento jurídico. Assim, por sua materialidade e reconhecimento pelo Direito garante a vontade das partes, bem como a sua inalterabilidade.</w:t>
      </w:r>
    </w:p>
    <w:p w:rsidR="0095247D" w:rsidRDefault="00117038" w:rsidP="008762C0">
      <w:pPr>
        <w:pStyle w:val="tj"/>
        <w:spacing w:line="480" w:lineRule="auto"/>
        <w:jc w:val="both"/>
        <w:rPr>
          <w:rFonts w:ascii="Arial" w:hAnsi="Arial" w:cs="Arial"/>
        </w:rPr>
      </w:pPr>
      <w:r w:rsidRPr="00117038">
        <w:rPr>
          <w:rFonts w:ascii="Arial" w:hAnsi="Arial" w:cs="Arial"/>
        </w:rPr>
        <w:lastRenderedPageBreak/>
        <w:t>Nosso país está começando a seguir a direção que muitos outros países vêm seguindo, que é a busca da atualização legislativa em relação ao desenvolvimento tecnológico da humanidade, com uma legislação moderna e compatível com nossas experiências cotidianas, visando a proteger nossa sociedade das inúmeras e novas conseqüências jurídicas oriundas do progresso conquistado.</w:t>
      </w:r>
    </w:p>
    <w:p w:rsidR="00507BED" w:rsidRPr="0037362E" w:rsidRDefault="0095247D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37362E">
        <w:rPr>
          <w:rFonts w:ascii="Arial" w:hAnsi="Arial" w:cs="Arial"/>
          <w:sz w:val="24"/>
          <w:szCs w:val="24"/>
        </w:rPr>
        <w:t>A modernização da prestação dos serviços por meio eletrônico entrou em nosso cotidiano de maneira avassaladora. O Sistema Brasileiro de Pagamentos – SPB possibilitou executar inúmeras ordens bancárias eletronicamente. Com isso, o documento eletrônico precisou ser adequado para ganhar mais segurança e força jurídica, o que viabilizou a prática mais ágil de diversos procedimentos que até então, somente eram realizados presencialmente.</w:t>
      </w:r>
    </w:p>
    <w:p w:rsidR="00E51308" w:rsidRPr="0095247D" w:rsidRDefault="009A0276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5247D">
        <w:rPr>
          <w:rFonts w:ascii="Arial" w:hAnsi="Arial" w:cs="Arial"/>
          <w:b/>
          <w:sz w:val="24"/>
          <w:szCs w:val="24"/>
        </w:rPr>
        <w:t xml:space="preserve">4.2 – </w:t>
      </w:r>
      <w:r w:rsidR="00E51308" w:rsidRPr="0095247D">
        <w:rPr>
          <w:rFonts w:ascii="Arial" w:hAnsi="Arial" w:cs="Arial"/>
          <w:b/>
          <w:sz w:val="24"/>
          <w:szCs w:val="24"/>
        </w:rPr>
        <w:t>ASSINATURA</w:t>
      </w:r>
      <w:proofErr w:type="gramEnd"/>
      <w:r w:rsidR="00E51308" w:rsidRPr="0095247D">
        <w:rPr>
          <w:rFonts w:ascii="Arial" w:hAnsi="Arial" w:cs="Arial"/>
          <w:b/>
          <w:sz w:val="24"/>
          <w:szCs w:val="24"/>
        </w:rPr>
        <w:t xml:space="preserve"> DIGITAL</w:t>
      </w:r>
    </w:p>
    <w:p w:rsidR="009A0276" w:rsidRPr="0037362E" w:rsidRDefault="009A0276" w:rsidP="00117038">
      <w:pPr>
        <w:pStyle w:val="NormalWeb"/>
        <w:spacing w:line="480" w:lineRule="auto"/>
        <w:jc w:val="both"/>
        <w:rPr>
          <w:rFonts w:ascii="Arial" w:hAnsi="Arial" w:cs="Arial"/>
        </w:rPr>
      </w:pPr>
      <w:r w:rsidRPr="0037362E">
        <w:rPr>
          <w:rFonts w:ascii="Arial" w:hAnsi="Arial" w:cs="Arial"/>
        </w:rPr>
        <w:t xml:space="preserve">Conforme a </w:t>
      </w:r>
      <w:hyperlink r:id="rId4" w:history="1">
        <w:r w:rsidRPr="0037362E">
          <w:rPr>
            <w:rStyle w:val="Hyperlink"/>
            <w:rFonts w:ascii="Arial" w:hAnsi="Arial" w:cs="Arial"/>
          </w:rPr>
          <w:t>Medida provisória 2.200-2</w:t>
        </w:r>
      </w:hyperlink>
      <w:r w:rsidRPr="0037362E">
        <w:rPr>
          <w:rFonts w:ascii="Arial" w:hAnsi="Arial" w:cs="Arial"/>
        </w:rPr>
        <w:t xml:space="preserve">, a lei brasileira determina que qualquer documento digital </w:t>
      </w:r>
      <w:proofErr w:type="gramStart"/>
      <w:r w:rsidRPr="0037362E">
        <w:rPr>
          <w:rFonts w:ascii="Arial" w:hAnsi="Arial" w:cs="Arial"/>
        </w:rPr>
        <w:t>tem</w:t>
      </w:r>
      <w:proofErr w:type="gramEnd"/>
      <w:r w:rsidRPr="0037362E">
        <w:rPr>
          <w:rFonts w:ascii="Arial" w:hAnsi="Arial" w:cs="Arial"/>
        </w:rPr>
        <w:t xml:space="preserve"> validade legal se for certificado pela </w:t>
      </w:r>
      <w:proofErr w:type="spellStart"/>
      <w:r w:rsidRPr="0037362E">
        <w:rPr>
          <w:rFonts w:ascii="Arial" w:hAnsi="Arial" w:cs="Arial"/>
          <w:b/>
          <w:bCs/>
        </w:rPr>
        <w:t>ICP-Brasil</w:t>
      </w:r>
      <w:proofErr w:type="spellEnd"/>
      <w:r w:rsidRPr="0037362E">
        <w:rPr>
          <w:rFonts w:ascii="Arial" w:hAnsi="Arial" w:cs="Arial"/>
        </w:rPr>
        <w:t xml:space="preserve"> (a </w:t>
      </w:r>
      <w:hyperlink r:id="rId5" w:tooltip="ICP" w:history="1">
        <w:r w:rsidRPr="0037362E">
          <w:rPr>
            <w:rStyle w:val="Hyperlink"/>
            <w:rFonts w:ascii="Arial" w:hAnsi="Arial" w:cs="Arial"/>
          </w:rPr>
          <w:t>ICP</w:t>
        </w:r>
      </w:hyperlink>
      <w:r w:rsidRPr="0037362E">
        <w:rPr>
          <w:rFonts w:ascii="Arial" w:hAnsi="Arial" w:cs="Arial"/>
        </w:rPr>
        <w:t xml:space="preserve"> oficial brasileira). A medida provisória também prevê a utilização de certificados emitidos por outras infra-estruturas de chaves públicas, desde que as partes que assinam reconheçam previamente a validade destes.</w:t>
      </w:r>
    </w:p>
    <w:p w:rsidR="009A0276" w:rsidRPr="0037362E" w:rsidRDefault="009A0276" w:rsidP="00117038">
      <w:pPr>
        <w:pStyle w:val="NormalWeb"/>
        <w:spacing w:line="480" w:lineRule="auto"/>
        <w:jc w:val="both"/>
        <w:rPr>
          <w:rFonts w:ascii="Arial" w:hAnsi="Arial" w:cs="Arial"/>
        </w:rPr>
      </w:pPr>
      <w:r w:rsidRPr="0037362E">
        <w:rPr>
          <w:rFonts w:ascii="Arial" w:hAnsi="Arial" w:cs="Arial"/>
        </w:rPr>
        <w:t>O que a MP 2.200-2</w:t>
      </w:r>
      <w:proofErr w:type="gramStart"/>
      <w:r w:rsidRPr="0037362E">
        <w:rPr>
          <w:rFonts w:ascii="Arial" w:hAnsi="Arial" w:cs="Arial"/>
        </w:rPr>
        <w:t xml:space="preserve"> portanto</w:t>
      </w:r>
      <w:proofErr w:type="gramEnd"/>
      <w:r w:rsidRPr="0037362E">
        <w:rPr>
          <w:rFonts w:ascii="Arial" w:hAnsi="Arial" w:cs="Arial"/>
        </w:rPr>
        <w:t xml:space="preserve"> outorga à </w:t>
      </w:r>
      <w:proofErr w:type="spellStart"/>
      <w:r w:rsidRPr="0037362E">
        <w:rPr>
          <w:rFonts w:ascii="Arial" w:hAnsi="Arial" w:cs="Arial"/>
        </w:rPr>
        <w:t>ICP-Brasil</w:t>
      </w:r>
      <w:proofErr w:type="spellEnd"/>
      <w:r w:rsidRPr="0037362E">
        <w:rPr>
          <w:rFonts w:ascii="Arial" w:hAnsi="Arial" w:cs="Arial"/>
        </w:rPr>
        <w:t xml:space="preserve"> é a fé pública, considerando que o certificado emitido pela </w:t>
      </w:r>
      <w:proofErr w:type="spellStart"/>
      <w:r w:rsidRPr="0037362E">
        <w:rPr>
          <w:rFonts w:ascii="Arial" w:hAnsi="Arial" w:cs="Arial"/>
        </w:rPr>
        <w:t>ICP-Brasil</w:t>
      </w:r>
      <w:proofErr w:type="spellEnd"/>
      <w:r w:rsidRPr="0037362E">
        <w:rPr>
          <w:rFonts w:ascii="Arial" w:hAnsi="Arial" w:cs="Arial"/>
        </w:rPr>
        <w:t xml:space="preserve"> qualquer documento digital assinado com pode de fato ser considerado assinado pela própria pessoa.</w:t>
      </w:r>
    </w:p>
    <w:p w:rsidR="009A0276" w:rsidRPr="0037362E" w:rsidRDefault="009A0276" w:rsidP="00117038">
      <w:pPr>
        <w:pStyle w:val="NormalWeb"/>
        <w:spacing w:line="480" w:lineRule="auto"/>
        <w:jc w:val="both"/>
        <w:rPr>
          <w:rFonts w:ascii="Arial" w:hAnsi="Arial" w:cs="Arial"/>
        </w:rPr>
      </w:pPr>
      <w:r w:rsidRPr="0037362E">
        <w:rPr>
          <w:rFonts w:ascii="Arial" w:hAnsi="Arial" w:cs="Arial"/>
        </w:rPr>
        <w:lastRenderedPageBreak/>
        <w:t xml:space="preserve">Resultado igual pode ser obtido se o usuário de um certificado emitido por outra ICP qualquer, depositar em cartório de registro o reconhecimento da mesma como sua identidade digital. O que se quer preservar é o princípio da </w:t>
      </w:r>
      <w:proofErr w:type="spellStart"/>
      <w:r w:rsidRPr="0037362E">
        <w:rPr>
          <w:rFonts w:ascii="Arial" w:hAnsi="Arial" w:cs="Arial"/>
        </w:rPr>
        <w:t>irrefutabilidade</w:t>
      </w:r>
      <w:proofErr w:type="spellEnd"/>
      <w:r w:rsidRPr="0037362E">
        <w:rPr>
          <w:rFonts w:ascii="Arial" w:hAnsi="Arial" w:cs="Arial"/>
        </w:rPr>
        <w:t xml:space="preserve"> do documento assinado, assim sendo, o registro em cartório de um documento no qual o usuário reconhece como sendo seu um determinado certificado digital é prova mais que suficiente para vincular a ele qualquer documento eletrônico assinado com aquele certificado.</w:t>
      </w:r>
    </w:p>
    <w:p w:rsidR="009A0276" w:rsidRPr="0037362E" w:rsidRDefault="009A0276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51308" w:rsidRPr="0037362E" w:rsidRDefault="00E51308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51308" w:rsidRPr="0037362E" w:rsidRDefault="00E51308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51308" w:rsidRPr="0037362E" w:rsidRDefault="00E51308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5FD3" w:rsidRPr="005F4571" w:rsidRDefault="00074E70" w:rsidP="00117038">
      <w:pPr>
        <w:spacing w:line="480" w:lineRule="auto"/>
        <w:ind w:firstLine="708"/>
        <w:jc w:val="both"/>
        <w:rPr>
          <w:rFonts w:ascii="Arial" w:hAnsi="Arial" w:cs="Arial"/>
          <w:strike/>
          <w:sz w:val="24"/>
          <w:szCs w:val="24"/>
        </w:rPr>
      </w:pPr>
      <w:r w:rsidRPr="005F4571">
        <w:rPr>
          <w:rFonts w:ascii="Arial" w:hAnsi="Arial" w:cs="Arial"/>
          <w:strike/>
          <w:sz w:val="24"/>
          <w:szCs w:val="24"/>
        </w:rPr>
        <w:t xml:space="preserve">A desburocratização </w:t>
      </w:r>
      <w:r w:rsidR="00760222" w:rsidRPr="005F4571">
        <w:rPr>
          <w:rFonts w:ascii="Arial" w:hAnsi="Arial" w:cs="Arial"/>
          <w:strike/>
          <w:sz w:val="24"/>
          <w:szCs w:val="24"/>
        </w:rPr>
        <w:t>de documentos pú</w:t>
      </w:r>
      <w:r w:rsidR="00222F1C" w:rsidRPr="005F4571">
        <w:rPr>
          <w:rFonts w:ascii="Arial" w:hAnsi="Arial" w:cs="Arial"/>
          <w:strike/>
          <w:sz w:val="24"/>
          <w:szCs w:val="24"/>
        </w:rPr>
        <w:t>blicos é</w:t>
      </w:r>
      <w:r w:rsidRPr="005F4571">
        <w:rPr>
          <w:rFonts w:ascii="Arial" w:hAnsi="Arial" w:cs="Arial"/>
          <w:strike/>
          <w:sz w:val="24"/>
          <w:szCs w:val="24"/>
        </w:rPr>
        <w:t xml:space="preserve"> uma </w:t>
      </w:r>
      <w:r w:rsidR="00E043E5" w:rsidRPr="005F4571">
        <w:rPr>
          <w:rFonts w:ascii="Arial" w:hAnsi="Arial" w:cs="Arial"/>
          <w:strike/>
          <w:sz w:val="24"/>
          <w:szCs w:val="24"/>
        </w:rPr>
        <w:t>condição</w:t>
      </w:r>
      <w:r w:rsidRPr="005F4571">
        <w:rPr>
          <w:rFonts w:ascii="Arial" w:hAnsi="Arial" w:cs="Arial"/>
          <w:strike/>
          <w:sz w:val="24"/>
          <w:szCs w:val="24"/>
        </w:rPr>
        <w:t xml:space="preserve"> </w:t>
      </w:r>
      <w:r w:rsidR="00E043E5" w:rsidRPr="005F4571">
        <w:rPr>
          <w:rFonts w:ascii="Arial" w:hAnsi="Arial" w:cs="Arial"/>
          <w:strike/>
          <w:sz w:val="24"/>
          <w:szCs w:val="24"/>
        </w:rPr>
        <w:t xml:space="preserve">necessária atualmente no </w:t>
      </w:r>
      <w:proofErr w:type="gramStart"/>
      <w:r w:rsidR="00E043E5" w:rsidRPr="005F4571">
        <w:rPr>
          <w:rFonts w:ascii="Arial" w:hAnsi="Arial" w:cs="Arial"/>
          <w:strike/>
          <w:sz w:val="24"/>
          <w:szCs w:val="24"/>
        </w:rPr>
        <w:t>Brasil</w:t>
      </w:r>
      <w:r w:rsidR="00B2162F" w:rsidRPr="005F4571">
        <w:rPr>
          <w:rFonts w:ascii="Arial" w:hAnsi="Arial" w:cs="Arial"/>
          <w:strike/>
          <w:sz w:val="24"/>
          <w:szCs w:val="24"/>
        </w:rPr>
        <w:t>.</w:t>
      </w:r>
      <w:proofErr w:type="gramEnd"/>
      <w:r w:rsidR="00B2162F" w:rsidRPr="005F4571">
        <w:rPr>
          <w:rFonts w:ascii="Arial" w:hAnsi="Arial" w:cs="Arial"/>
          <w:strike/>
          <w:sz w:val="24"/>
          <w:szCs w:val="24"/>
        </w:rPr>
        <w:t xml:space="preserve">A praticidade e segurança dos documentos </w:t>
      </w:r>
      <w:r w:rsidR="00E043E5" w:rsidRPr="005F4571">
        <w:rPr>
          <w:rFonts w:ascii="Arial" w:hAnsi="Arial" w:cs="Arial"/>
          <w:strike/>
          <w:sz w:val="24"/>
          <w:szCs w:val="24"/>
        </w:rPr>
        <w:t xml:space="preserve"> </w:t>
      </w:r>
    </w:p>
    <w:p w:rsidR="00B93945" w:rsidRPr="0037362E" w:rsidRDefault="00B93945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3945" w:rsidRPr="0037362E" w:rsidRDefault="00B93945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3945" w:rsidRPr="0095247D" w:rsidRDefault="0095247D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5247D">
        <w:rPr>
          <w:rFonts w:ascii="Arial" w:hAnsi="Arial" w:cs="Arial"/>
          <w:b/>
          <w:sz w:val="24"/>
          <w:szCs w:val="24"/>
        </w:rPr>
        <w:t xml:space="preserve">7.2 – A ITI e a </w:t>
      </w:r>
      <w:proofErr w:type="spellStart"/>
      <w:r w:rsidRPr="0095247D">
        <w:rPr>
          <w:rFonts w:ascii="Arial" w:hAnsi="Arial" w:cs="Arial"/>
          <w:b/>
          <w:sz w:val="24"/>
          <w:szCs w:val="24"/>
        </w:rPr>
        <w:t>ICP-Brasil</w:t>
      </w:r>
      <w:proofErr w:type="spellEnd"/>
      <w:proofErr w:type="gramEnd"/>
    </w:p>
    <w:p w:rsidR="0095247D" w:rsidRDefault="0095247D" w:rsidP="0095247D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362E">
        <w:rPr>
          <w:rFonts w:ascii="Arial" w:hAnsi="Arial" w:cs="Arial"/>
          <w:sz w:val="24"/>
          <w:szCs w:val="24"/>
        </w:rPr>
        <w:t xml:space="preserve">O instituto nacional de tecnologia da </w:t>
      </w:r>
      <w:proofErr w:type="gramStart"/>
      <w:r w:rsidRPr="0037362E">
        <w:rPr>
          <w:rFonts w:ascii="Arial" w:hAnsi="Arial" w:cs="Arial"/>
          <w:sz w:val="24"/>
          <w:szCs w:val="24"/>
        </w:rPr>
        <w:t>informação(</w:t>
      </w:r>
      <w:proofErr w:type="gramEnd"/>
      <w:r w:rsidRPr="0037362E">
        <w:rPr>
          <w:rFonts w:ascii="Arial" w:hAnsi="Arial" w:cs="Arial"/>
          <w:sz w:val="24"/>
          <w:szCs w:val="24"/>
        </w:rPr>
        <w:t>ITI), é uma autarquia, ou seja, exerce poder sobre si mesmo e tem como principal função manter a infra-estrutura de chaves publicas no Brasil (</w:t>
      </w:r>
      <w:proofErr w:type="spellStart"/>
      <w:r w:rsidRPr="0037362E">
        <w:rPr>
          <w:rFonts w:ascii="Arial" w:hAnsi="Arial" w:cs="Arial"/>
          <w:sz w:val="24"/>
          <w:szCs w:val="24"/>
        </w:rPr>
        <w:t>icp-brasil</w:t>
      </w:r>
      <w:proofErr w:type="spellEnd"/>
      <w:r w:rsidRPr="0037362E">
        <w:rPr>
          <w:rFonts w:ascii="Arial" w:hAnsi="Arial" w:cs="Arial"/>
          <w:sz w:val="24"/>
          <w:szCs w:val="24"/>
        </w:rPr>
        <w:t>), cujos membros são nomeados pelo presidente da republica para garantir transparência, confiabilidade e estabilidade ao sistema.</w:t>
      </w:r>
    </w:p>
    <w:p w:rsidR="005F4571" w:rsidRDefault="005F4571" w:rsidP="0095247D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F4571" w:rsidRDefault="005F4571" w:rsidP="0095247D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F4571" w:rsidRPr="0037362E" w:rsidRDefault="005F4571" w:rsidP="0095247D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3945" w:rsidRDefault="0095247D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5247D">
        <w:rPr>
          <w:rFonts w:ascii="Arial" w:hAnsi="Arial" w:cs="Arial"/>
          <w:b/>
          <w:sz w:val="24"/>
          <w:szCs w:val="24"/>
        </w:rPr>
        <w:t>7.3 - Cadeias de certificação (tipos)</w:t>
      </w: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Pr="0095247D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C0796" w:rsidRDefault="0095247D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5247D">
        <w:rPr>
          <w:rFonts w:ascii="Arial" w:hAnsi="Arial" w:cs="Arial"/>
          <w:b/>
          <w:sz w:val="24"/>
          <w:szCs w:val="24"/>
        </w:rPr>
        <w:t xml:space="preserve">7.4 - Autoridades Certificadoras, Autoridades Registradoras (Comparação com órgãos expedidores de documentos) Utilizar-se das fontes da ICP Bravo. </w:t>
      </w: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D2B48" w:rsidRPr="0095247D" w:rsidRDefault="006D2B48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93945" w:rsidRPr="0095247D" w:rsidRDefault="0095247D" w:rsidP="00117038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5247D">
        <w:rPr>
          <w:rFonts w:ascii="Arial" w:hAnsi="Arial" w:cs="Arial"/>
          <w:b/>
          <w:sz w:val="24"/>
          <w:szCs w:val="24"/>
        </w:rPr>
        <w:t xml:space="preserve">7.5 - </w:t>
      </w:r>
      <w:r w:rsidR="00C672A0" w:rsidRPr="0095247D">
        <w:rPr>
          <w:rFonts w:ascii="Arial" w:hAnsi="Arial" w:cs="Arial"/>
          <w:b/>
          <w:sz w:val="24"/>
          <w:szCs w:val="24"/>
        </w:rPr>
        <w:t>A i</w:t>
      </w:r>
      <w:r w:rsidR="009C0796" w:rsidRPr="0095247D">
        <w:rPr>
          <w:rFonts w:ascii="Arial" w:hAnsi="Arial" w:cs="Arial"/>
          <w:b/>
          <w:sz w:val="24"/>
          <w:szCs w:val="24"/>
        </w:rPr>
        <w:t>nstrução normativa 969 (</w:t>
      </w:r>
      <w:r w:rsidR="00B93945" w:rsidRPr="0095247D">
        <w:rPr>
          <w:rFonts w:ascii="Arial" w:hAnsi="Arial" w:cs="Arial"/>
          <w:b/>
          <w:sz w:val="24"/>
          <w:szCs w:val="24"/>
        </w:rPr>
        <w:t>IN 969</w:t>
      </w:r>
      <w:r w:rsidR="009C0796" w:rsidRPr="0095247D">
        <w:rPr>
          <w:rFonts w:ascii="Arial" w:hAnsi="Arial" w:cs="Arial"/>
          <w:b/>
          <w:sz w:val="24"/>
          <w:szCs w:val="24"/>
        </w:rPr>
        <w:t>)</w:t>
      </w:r>
    </w:p>
    <w:p w:rsidR="00B93945" w:rsidRPr="0037362E" w:rsidRDefault="00B93945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362E">
        <w:rPr>
          <w:rFonts w:ascii="Arial" w:hAnsi="Arial" w:cs="Arial"/>
          <w:sz w:val="24"/>
          <w:szCs w:val="24"/>
        </w:rPr>
        <w:t xml:space="preserve">A instrução normativa 969 foi publicada </w:t>
      </w:r>
      <w:r w:rsidR="009C0796" w:rsidRPr="0037362E">
        <w:rPr>
          <w:rFonts w:ascii="Arial" w:hAnsi="Arial" w:cs="Arial"/>
          <w:sz w:val="24"/>
          <w:szCs w:val="24"/>
        </w:rPr>
        <w:t>em outubro de 2009</w:t>
      </w:r>
      <w:r w:rsidRPr="0037362E">
        <w:rPr>
          <w:rFonts w:ascii="Arial" w:hAnsi="Arial" w:cs="Arial"/>
          <w:sz w:val="24"/>
          <w:szCs w:val="24"/>
        </w:rPr>
        <w:t xml:space="preserve"> </w:t>
      </w:r>
      <w:r w:rsidR="009C0796" w:rsidRPr="0037362E">
        <w:rPr>
          <w:rFonts w:ascii="Arial" w:hAnsi="Arial" w:cs="Arial"/>
          <w:sz w:val="24"/>
          <w:szCs w:val="24"/>
        </w:rPr>
        <w:t xml:space="preserve">pelo diário oficial da união e estabelece que todas as empresas </w:t>
      </w:r>
      <w:proofErr w:type="gramStart"/>
      <w:r w:rsidR="009C0796" w:rsidRPr="0037362E">
        <w:rPr>
          <w:rFonts w:ascii="Arial" w:hAnsi="Arial" w:cs="Arial"/>
          <w:sz w:val="24"/>
          <w:szCs w:val="24"/>
        </w:rPr>
        <w:t>deve</w:t>
      </w:r>
      <w:r w:rsidR="00E507D4" w:rsidRPr="0037362E">
        <w:rPr>
          <w:rFonts w:ascii="Arial" w:hAnsi="Arial" w:cs="Arial"/>
          <w:sz w:val="24"/>
          <w:szCs w:val="24"/>
        </w:rPr>
        <w:t>m</w:t>
      </w:r>
      <w:proofErr w:type="gramEnd"/>
      <w:r w:rsidR="009C0796" w:rsidRPr="0037362E">
        <w:rPr>
          <w:rFonts w:ascii="Arial" w:hAnsi="Arial" w:cs="Arial"/>
          <w:sz w:val="24"/>
          <w:szCs w:val="24"/>
        </w:rPr>
        <w:t xml:space="preserve"> enviar suas demonstrações e declarações para a receita federal assinadas digitalmente. A </w:t>
      </w:r>
      <w:r w:rsidR="009C0796" w:rsidRPr="0037362E">
        <w:rPr>
          <w:rFonts w:ascii="Arial" w:hAnsi="Arial" w:cs="Arial"/>
          <w:sz w:val="24"/>
          <w:szCs w:val="24"/>
        </w:rPr>
        <w:lastRenderedPageBreak/>
        <w:t xml:space="preserve">novidade é para as empresas que estão tributadas no lucro presumido que doravante, passam a ter que usar a assinatura digital. Esta obrigatoriedade está em vigor desde janeiro de 2010 sendo que para assinar este documento, é necessário um certificado digital, que é um documento eletrônico que identifica de forma inequívoca, uma pessoa física ou jurídica numa transação eletrônica, trazendo segurança e conveniência para todas as relações </w:t>
      </w:r>
      <w:r w:rsidR="00ED59A3" w:rsidRPr="0037362E">
        <w:rPr>
          <w:rFonts w:ascii="Arial" w:hAnsi="Arial" w:cs="Arial"/>
          <w:sz w:val="24"/>
          <w:szCs w:val="24"/>
        </w:rPr>
        <w:t>transacionais.</w:t>
      </w:r>
      <w:r w:rsidR="00E507D4" w:rsidRPr="0037362E">
        <w:rPr>
          <w:rFonts w:ascii="Arial" w:hAnsi="Arial" w:cs="Arial"/>
          <w:sz w:val="24"/>
          <w:szCs w:val="24"/>
        </w:rPr>
        <w:t xml:space="preserve"> Isso significa que se a empresa quiser enviar documentos assinados no papel, não será mais permitido, pois a norma estipula obrigatoriamente o uso de um certificado digital. </w:t>
      </w:r>
      <w:r w:rsidR="00ED59A3" w:rsidRPr="0037362E">
        <w:rPr>
          <w:rFonts w:ascii="Arial" w:hAnsi="Arial" w:cs="Arial"/>
          <w:sz w:val="24"/>
          <w:szCs w:val="24"/>
        </w:rPr>
        <w:t xml:space="preserve"> </w:t>
      </w:r>
      <w:r w:rsidR="009C0796" w:rsidRPr="0037362E">
        <w:rPr>
          <w:rFonts w:ascii="Arial" w:hAnsi="Arial" w:cs="Arial"/>
          <w:sz w:val="24"/>
          <w:szCs w:val="24"/>
        </w:rPr>
        <w:t xml:space="preserve">Essa é a necessidade para as empresas de lucro </w:t>
      </w:r>
      <w:proofErr w:type="gramStart"/>
      <w:r w:rsidR="009C0796" w:rsidRPr="0037362E">
        <w:rPr>
          <w:rFonts w:ascii="Arial" w:hAnsi="Arial" w:cs="Arial"/>
          <w:sz w:val="24"/>
          <w:szCs w:val="24"/>
        </w:rPr>
        <w:t>presumido</w:t>
      </w:r>
      <w:r w:rsidR="00DE20DF" w:rsidRPr="0037362E">
        <w:rPr>
          <w:rFonts w:ascii="Arial" w:hAnsi="Arial" w:cs="Arial"/>
          <w:sz w:val="24"/>
          <w:szCs w:val="24"/>
        </w:rPr>
        <w:t>(</w:t>
      </w:r>
      <w:proofErr w:type="gramEnd"/>
      <w:r w:rsidR="00DE20DF" w:rsidRPr="0037362E">
        <w:rPr>
          <w:rFonts w:ascii="Arial" w:hAnsi="Arial" w:cs="Arial"/>
          <w:sz w:val="24"/>
          <w:szCs w:val="24"/>
        </w:rPr>
        <w:t xml:space="preserve">empresas que faturam em media 48 </w:t>
      </w:r>
      <w:r w:rsidR="00E507D4" w:rsidRPr="0037362E">
        <w:rPr>
          <w:rFonts w:ascii="Arial" w:hAnsi="Arial" w:cs="Arial"/>
          <w:sz w:val="24"/>
          <w:szCs w:val="24"/>
        </w:rPr>
        <w:t>milhões</w:t>
      </w:r>
      <w:r w:rsidR="00DE20DF" w:rsidRPr="0037362E">
        <w:rPr>
          <w:rFonts w:ascii="Arial" w:hAnsi="Arial" w:cs="Arial"/>
          <w:sz w:val="24"/>
          <w:szCs w:val="24"/>
        </w:rPr>
        <w:t xml:space="preserve"> de reais pro ano)</w:t>
      </w:r>
      <w:r w:rsidR="009C0796" w:rsidRPr="0037362E">
        <w:rPr>
          <w:rFonts w:ascii="Arial" w:hAnsi="Arial" w:cs="Arial"/>
          <w:sz w:val="24"/>
          <w:szCs w:val="24"/>
        </w:rPr>
        <w:t>, pois as empresas de lucro real e arbitrário</w:t>
      </w:r>
      <w:r w:rsidR="00DE20DF" w:rsidRPr="0037362E">
        <w:rPr>
          <w:rFonts w:ascii="Arial" w:hAnsi="Arial" w:cs="Arial"/>
          <w:sz w:val="24"/>
          <w:szCs w:val="24"/>
        </w:rPr>
        <w:t xml:space="preserve">(2 </w:t>
      </w:r>
      <w:r w:rsidR="00E507D4" w:rsidRPr="0037362E">
        <w:rPr>
          <w:rFonts w:ascii="Arial" w:hAnsi="Arial" w:cs="Arial"/>
          <w:sz w:val="24"/>
          <w:szCs w:val="24"/>
        </w:rPr>
        <w:t>milhões</w:t>
      </w:r>
      <w:r w:rsidR="00DE20DF" w:rsidRPr="0037362E">
        <w:rPr>
          <w:rFonts w:ascii="Arial" w:hAnsi="Arial" w:cs="Arial"/>
          <w:sz w:val="24"/>
          <w:szCs w:val="24"/>
        </w:rPr>
        <w:t xml:space="preserve"> por ano)</w:t>
      </w:r>
      <w:r w:rsidR="009C0796" w:rsidRPr="0037362E">
        <w:rPr>
          <w:rFonts w:ascii="Arial" w:hAnsi="Arial" w:cs="Arial"/>
          <w:sz w:val="24"/>
          <w:szCs w:val="24"/>
        </w:rPr>
        <w:t xml:space="preserve"> já utilizam a assinatura digital</w:t>
      </w:r>
      <w:r w:rsidR="007D3D1D" w:rsidRPr="0037362E">
        <w:rPr>
          <w:rFonts w:ascii="Arial" w:hAnsi="Arial" w:cs="Arial"/>
          <w:sz w:val="24"/>
          <w:szCs w:val="24"/>
        </w:rPr>
        <w:t>, enviando seus documentos para a receita federal.</w:t>
      </w:r>
      <w:r w:rsidR="00ED59A3" w:rsidRPr="0037362E">
        <w:rPr>
          <w:rFonts w:ascii="Arial" w:hAnsi="Arial" w:cs="Arial"/>
          <w:sz w:val="24"/>
          <w:szCs w:val="24"/>
        </w:rPr>
        <w:t>A aplicação dessa instrução traz algumas vantagens: economiza tempo e diminui custos, gerando facilidade para os empresários ou contadores</w:t>
      </w:r>
      <w:r w:rsidR="00E507D4" w:rsidRPr="0037362E">
        <w:rPr>
          <w:rFonts w:ascii="Arial" w:hAnsi="Arial" w:cs="Arial"/>
          <w:sz w:val="24"/>
          <w:szCs w:val="24"/>
        </w:rPr>
        <w:t>, que são os que estão inclusos nessa normativa</w:t>
      </w:r>
      <w:r w:rsidR="00ED59A3" w:rsidRPr="0037362E">
        <w:rPr>
          <w:rFonts w:ascii="Arial" w:hAnsi="Arial" w:cs="Arial"/>
          <w:sz w:val="24"/>
          <w:szCs w:val="24"/>
        </w:rPr>
        <w:t>.</w:t>
      </w:r>
      <w:r w:rsidR="006B43C4" w:rsidRPr="0037362E">
        <w:rPr>
          <w:rFonts w:ascii="Arial" w:hAnsi="Arial" w:cs="Arial"/>
          <w:sz w:val="24"/>
          <w:szCs w:val="24"/>
        </w:rPr>
        <w:t xml:space="preserve">A seguir um trecho publicado pelo diário oficial da </w:t>
      </w:r>
      <w:proofErr w:type="spellStart"/>
      <w:r w:rsidR="006B43C4" w:rsidRPr="0037362E">
        <w:rPr>
          <w:rFonts w:ascii="Arial" w:hAnsi="Arial" w:cs="Arial"/>
          <w:sz w:val="24"/>
          <w:szCs w:val="24"/>
        </w:rPr>
        <w:t>unicao</w:t>
      </w:r>
      <w:proofErr w:type="spellEnd"/>
      <w:r w:rsidR="006B43C4" w:rsidRPr="0037362E">
        <w:rPr>
          <w:rFonts w:ascii="Arial" w:hAnsi="Arial" w:cs="Arial"/>
          <w:sz w:val="24"/>
          <w:szCs w:val="24"/>
        </w:rPr>
        <w:t>:</w:t>
      </w:r>
    </w:p>
    <w:p w:rsidR="006B43C4" w:rsidRPr="0037362E" w:rsidRDefault="006B43C4" w:rsidP="00117038">
      <w:pPr>
        <w:pStyle w:val="NormalWeb"/>
        <w:spacing w:line="480" w:lineRule="auto"/>
        <w:jc w:val="both"/>
        <w:rPr>
          <w:rFonts w:ascii="Arial" w:hAnsi="Arial" w:cs="Arial"/>
        </w:rPr>
      </w:pPr>
      <w:r w:rsidRPr="0037362E">
        <w:rPr>
          <w:rFonts w:ascii="Arial" w:hAnsi="Arial" w:cs="Arial"/>
        </w:rPr>
        <w:t>INSTRUÇÃO NORMATIVA No- 969,</w:t>
      </w:r>
      <w:r w:rsidRPr="0037362E">
        <w:rPr>
          <w:rFonts w:ascii="Arial" w:hAnsi="Arial" w:cs="Arial"/>
        </w:rPr>
        <w:br/>
        <w:t>DE 21 DE OUTUBRO DE 2009</w:t>
      </w:r>
    </w:p>
    <w:p w:rsidR="006B43C4" w:rsidRPr="0037362E" w:rsidRDefault="006B43C4" w:rsidP="00117038">
      <w:pPr>
        <w:pStyle w:val="NormalWeb"/>
        <w:spacing w:line="480" w:lineRule="auto"/>
        <w:jc w:val="both"/>
        <w:rPr>
          <w:rFonts w:ascii="Arial" w:hAnsi="Arial" w:cs="Arial"/>
        </w:rPr>
      </w:pPr>
      <w:r w:rsidRPr="0037362E">
        <w:rPr>
          <w:rFonts w:ascii="Arial" w:hAnsi="Arial" w:cs="Arial"/>
        </w:rPr>
        <w:t xml:space="preserve"> </w:t>
      </w:r>
      <w:proofErr w:type="gramStart"/>
      <w:r w:rsidRPr="0037362E">
        <w:rPr>
          <w:rFonts w:ascii="Arial" w:hAnsi="Arial" w:cs="Arial"/>
        </w:rPr>
        <w:t xml:space="preserve">“ </w:t>
      </w:r>
      <w:proofErr w:type="gramEnd"/>
      <w:r w:rsidRPr="0037362E">
        <w:rPr>
          <w:rFonts w:ascii="Arial" w:hAnsi="Arial" w:cs="Arial"/>
        </w:rPr>
        <w:t xml:space="preserve">O </w:t>
      </w:r>
      <w:r w:rsidRPr="0037362E">
        <w:rPr>
          <w:rFonts w:ascii="Arial" w:hAnsi="Arial" w:cs="Arial"/>
          <w:color w:val="000000" w:themeColor="text1"/>
        </w:rPr>
        <w:t xml:space="preserve">SECRETÁRIO DA </w:t>
      </w:r>
      <w:hyperlink r:id="rId6" w:tooltip="RECEITA FEDERAL" w:history="1">
        <w:r w:rsidRPr="0037362E">
          <w:rPr>
            <w:rStyle w:val="Hyperlink"/>
            <w:rFonts w:ascii="Arial" w:hAnsi="Arial" w:cs="Arial"/>
            <w:color w:val="000000" w:themeColor="text1"/>
            <w:u w:val="none"/>
          </w:rPr>
          <w:t>RECEITA FEDERAL</w:t>
        </w:r>
      </w:hyperlink>
      <w:r w:rsidRPr="0037362E">
        <w:rPr>
          <w:rFonts w:ascii="Arial" w:hAnsi="Arial" w:cs="Arial"/>
          <w:color w:val="000000" w:themeColor="text1"/>
        </w:rPr>
        <w:t xml:space="preserve"> DO BRASIL, no uso da atribuição que lhe confere o inciso III do art. 261 do Regimento Interno da Secretaria da </w:t>
      </w:r>
      <w:hyperlink r:id="rId7" w:tooltip="Receita Federal" w:history="1">
        <w:r w:rsidRPr="0037362E">
          <w:rPr>
            <w:rStyle w:val="Hyperlink"/>
            <w:rFonts w:ascii="Arial" w:hAnsi="Arial" w:cs="Arial"/>
            <w:color w:val="000000" w:themeColor="text1"/>
            <w:u w:val="none"/>
          </w:rPr>
          <w:t>Receita Federal</w:t>
        </w:r>
      </w:hyperlink>
      <w:r w:rsidRPr="0037362E">
        <w:rPr>
          <w:rFonts w:ascii="Arial" w:hAnsi="Arial" w:cs="Arial"/>
          <w:color w:val="000000" w:themeColor="text1"/>
        </w:rPr>
        <w:t xml:space="preserve"> do Brasil, aprovado pela </w:t>
      </w:r>
      <w:hyperlink r:id="rId8" w:tooltip="Portaria" w:history="1">
        <w:r w:rsidRPr="0037362E">
          <w:rPr>
            <w:rStyle w:val="Hyperlink"/>
            <w:rFonts w:ascii="Arial" w:hAnsi="Arial" w:cs="Arial"/>
            <w:color w:val="000000" w:themeColor="text1"/>
            <w:u w:val="none"/>
          </w:rPr>
          <w:t>Portaria</w:t>
        </w:r>
      </w:hyperlink>
      <w:r w:rsidRPr="0037362E">
        <w:rPr>
          <w:rFonts w:ascii="Arial" w:hAnsi="Arial" w:cs="Arial"/>
          <w:color w:val="000000" w:themeColor="text1"/>
        </w:rPr>
        <w:t xml:space="preserve"> MF</w:t>
      </w:r>
      <w:r w:rsidRPr="0037362E">
        <w:rPr>
          <w:rFonts w:ascii="Arial" w:hAnsi="Arial" w:cs="Arial"/>
        </w:rPr>
        <w:t xml:space="preserve"> nº 125, de 4 de março de 2009, e tendo em vista o disposto no art. 16 da Lei nº 9.779, de 19 de janeiro de 1999, resolve:</w:t>
      </w:r>
    </w:p>
    <w:p w:rsidR="006B43C4" w:rsidRPr="0037362E" w:rsidRDefault="006B43C4" w:rsidP="00117038">
      <w:pPr>
        <w:pStyle w:val="NormalWeb"/>
        <w:spacing w:line="480" w:lineRule="auto"/>
        <w:jc w:val="both"/>
        <w:rPr>
          <w:rFonts w:ascii="Arial" w:hAnsi="Arial" w:cs="Arial"/>
          <w:color w:val="000000" w:themeColor="text1"/>
        </w:rPr>
      </w:pPr>
      <w:r w:rsidRPr="0037362E">
        <w:rPr>
          <w:rFonts w:ascii="Arial" w:hAnsi="Arial" w:cs="Arial"/>
        </w:rPr>
        <w:lastRenderedPageBreak/>
        <w:t xml:space="preserve">Art. 1º A partir de 1º de </w:t>
      </w:r>
      <w:r w:rsidRPr="0037362E">
        <w:rPr>
          <w:rFonts w:ascii="Arial" w:hAnsi="Arial" w:cs="Arial"/>
          <w:color w:val="000000" w:themeColor="text1"/>
        </w:rPr>
        <w:t xml:space="preserve">janeiro de 2010, para a transmissão de declarações e demonstrativos pelas pessoas jurídicas tributadas com base no </w:t>
      </w:r>
      <w:hyperlink r:id="rId9" w:tooltip="lucro real" w:history="1">
        <w:r w:rsidRPr="0037362E">
          <w:rPr>
            <w:rStyle w:val="Hyperlink"/>
            <w:rFonts w:ascii="Arial" w:hAnsi="Arial" w:cs="Arial"/>
            <w:color w:val="000000" w:themeColor="text1"/>
            <w:u w:val="none"/>
          </w:rPr>
          <w:t>lucro real</w:t>
        </w:r>
      </w:hyperlink>
      <w:r w:rsidRPr="0037362E">
        <w:rPr>
          <w:rFonts w:ascii="Arial" w:hAnsi="Arial" w:cs="Arial"/>
          <w:color w:val="000000" w:themeColor="text1"/>
        </w:rPr>
        <w:t xml:space="preserve">, no </w:t>
      </w:r>
      <w:hyperlink r:id="rId10" w:tooltip="lucro presumido" w:history="1">
        <w:r w:rsidRPr="0037362E">
          <w:rPr>
            <w:rStyle w:val="Hyperlink"/>
            <w:rFonts w:ascii="Arial" w:hAnsi="Arial" w:cs="Arial"/>
            <w:color w:val="000000" w:themeColor="text1"/>
            <w:u w:val="none"/>
          </w:rPr>
          <w:t>lucro presumido</w:t>
        </w:r>
      </w:hyperlink>
      <w:r w:rsidRPr="0037362E">
        <w:rPr>
          <w:rFonts w:ascii="Arial" w:hAnsi="Arial" w:cs="Arial"/>
          <w:color w:val="000000" w:themeColor="text1"/>
        </w:rPr>
        <w:t xml:space="preserve"> ou no lucro arbitrado, é obrigatória a assinatura digital, efetivada mediante utilização de certificado digital válido.</w:t>
      </w:r>
    </w:p>
    <w:p w:rsidR="006B43C4" w:rsidRPr="0037362E" w:rsidRDefault="006B43C4" w:rsidP="00117038">
      <w:pPr>
        <w:pStyle w:val="NormalWeb"/>
        <w:spacing w:line="480" w:lineRule="auto"/>
        <w:jc w:val="both"/>
        <w:rPr>
          <w:rFonts w:ascii="Arial" w:hAnsi="Arial" w:cs="Arial"/>
        </w:rPr>
      </w:pPr>
      <w:r w:rsidRPr="0037362E">
        <w:rPr>
          <w:rFonts w:ascii="Arial" w:hAnsi="Arial" w:cs="Arial"/>
          <w:color w:val="000000" w:themeColor="text1"/>
        </w:rPr>
        <w:t xml:space="preserve">Art. 2º Esta </w:t>
      </w:r>
      <w:hyperlink r:id="rId11" w:tooltip="Instrução Normativa" w:history="1">
        <w:r w:rsidRPr="0037362E">
          <w:rPr>
            <w:rStyle w:val="Hyperlink"/>
            <w:rFonts w:ascii="Arial" w:hAnsi="Arial" w:cs="Arial"/>
            <w:color w:val="000000" w:themeColor="text1"/>
            <w:u w:val="none"/>
          </w:rPr>
          <w:t>Instrução Normativa</w:t>
        </w:r>
        <w:proofErr w:type="gramStart"/>
      </w:hyperlink>
      <w:r w:rsidRPr="0037362E">
        <w:rPr>
          <w:rFonts w:ascii="Arial" w:hAnsi="Arial" w:cs="Arial"/>
          <w:color w:val="000000" w:themeColor="text1"/>
        </w:rPr>
        <w:t xml:space="preserve"> entra em</w:t>
      </w:r>
      <w:r w:rsidRPr="0037362E">
        <w:rPr>
          <w:rFonts w:ascii="Arial" w:hAnsi="Arial" w:cs="Arial"/>
        </w:rPr>
        <w:t xml:space="preserve"> vigor na data de sua publicação.”</w:t>
      </w:r>
      <w:proofErr w:type="gramEnd"/>
    </w:p>
    <w:p w:rsidR="006B43C4" w:rsidRPr="0037362E" w:rsidRDefault="006B43C4" w:rsidP="00117038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6B43C4" w:rsidRPr="0037362E" w:rsidSect="0015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074E70"/>
    <w:rsid w:val="00074E70"/>
    <w:rsid w:val="000F131E"/>
    <w:rsid w:val="00117038"/>
    <w:rsid w:val="00153243"/>
    <w:rsid w:val="001843C5"/>
    <w:rsid w:val="00222F1C"/>
    <w:rsid w:val="002557F5"/>
    <w:rsid w:val="00274CF2"/>
    <w:rsid w:val="00283F0B"/>
    <w:rsid w:val="00336A33"/>
    <w:rsid w:val="0034241B"/>
    <w:rsid w:val="0037362E"/>
    <w:rsid w:val="003A680E"/>
    <w:rsid w:val="004A6376"/>
    <w:rsid w:val="004B47A6"/>
    <w:rsid w:val="00507BED"/>
    <w:rsid w:val="00514257"/>
    <w:rsid w:val="00554FFC"/>
    <w:rsid w:val="005F4571"/>
    <w:rsid w:val="005F6717"/>
    <w:rsid w:val="006030C0"/>
    <w:rsid w:val="006B43C4"/>
    <w:rsid w:val="006D2B48"/>
    <w:rsid w:val="007013FA"/>
    <w:rsid w:val="007451A6"/>
    <w:rsid w:val="00760222"/>
    <w:rsid w:val="007D3D1D"/>
    <w:rsid w:val="00800242"/>
    <w:rsid w:val="00870E3B"/>
    <w:rsid w:val="008762C0"/>
    <w:rsid w:val="0095247D"/>
    <w:rsid w:val="0098753C"/>
    <w:rsid w:val="009A0276"/>
    <w:rsid w:val="009C0796"/>
    <w:rsid w:val="00A10569"/>
    <w:rsid w:val="00A20E13"/>
    <w:rsid w:val="00A52518"/>
    <w:rsid w:val="00A702FD"/>
    <w:rsid w:val="00AB4A28"/>
    <w:rsid w:val="00AD7FAC"/>
    <w:rsid w:val="00B2162F"/>
    <w:rsid w:val="00B93945"/>
    <w:rsid w:val="00C672A0"/>
    <w:rsid w:val="00D23F8F"/>
    <w:rsid w:val="00DE20DF"/>
    <w:rsid w:val="00E043E5"/>
    <w:rsid w:val="00E178D9"/>
    <w:rsid w:val="00E421F1"/>
    <w:rsid w:val="00E507D4"/>
    <w:rsid w:val="00E51308"/>
    <w:rsid w:val="00E539F7"/>
    <w:rsid w:val="00E65FD3"/>
    <w:rsid w:val="00E8235E"/>
    <w:rsid w:val="00ED59A3"/>
    <w:rsid w:val="00EE7EE8"/>
    <w:rsid w:val="00FA0643"/>
    <w:rsid w:val="00FF3140"/>
    <w:rsid w:val="00FF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2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557F5"/>
    <w:rPr>
      <w:color w:val="0000FF"/>
      <w:u w:val="single"/>
    </w:rPr>
  </w:style>
  <w:style w:type="paragraph" w:customStyle="1" w:styleId="tj">
    <w:name w:val="tj"/>
    <w:basedOn w:val="Normal"/>
    <w:rsid w:val="0037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ertodiasduarte.com.br/?tag=portar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obertodiasduarte.com.br/?tag=receita-federa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bertodiasduarte.com.br/?tag=receita-federal" TargetMode="External"/><Relationship Id="rId11" Type="http://schemas.openxmlformats.org/officeDocument/2006/relationships/hyperlink" Target="http://www.robertodiasduarte.com.br/?tag=instrucao-normativa" TargetMode="External"/><Relationship Id="rId5" Type="http://schemas.openxmlformats.org/officeDocument/2006/relationships/hyperlink" Target="http://pt.wikipedia.org/wiki/ICP" TargetMode="External"/><Relationship Id="rId10" Type="http://schemas.openxmlformats.org/officeDocument/2006/relationships/hyperlink" Target="http://www.robertodiasduarte.com.br/?tag=lucro-presumido" TargetMode="External"/><Relationship Id="rId4" Type="http://schemas.openxmlformats.org/officeDocument/2006/relationships/hyperlink" Target="https://www.planalto.gov.br/ccivil_03/MPV/Antigas_2001/2200-2.htm" TargetMode="External"/><Relationship Id="rId9" Type="http://schemas.openxmlformats.org/officeDocument/2006/relationships/hyperlink" Target="http://www.robertodiasduarte.com.br/?tag=lucro-re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9</Pages>
  <Words>1789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18</cp:revision>
  <dcterms:created xsi:type="dcterms:W3CDTF">2010-09-17T02:32:00Z</dcterms:created>
  <dcterms:modified xsi:type="dcterms:W3CDTF">2010-09-26T14:34:00Z</dcterms:modified>
</cp:coreProperties>
</file>