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pPr>
      <w:r>
        <w:rPr>
          <w:b/>
          <w:color w:val="5653BE"/>
          <w:sz w:val="18"/>
        </w:rPr>
        <w:t>RESEARCH NOTE 01  /  SCRIPT-FIRST</w:t>
      </w:r>
    </w:p>
    <w:p>
      <w:pPr>
        <w:pStyle w:val="Title"/>
      </w:pPr>
      <w:r>
        <w:t>The Evprof Script DNA</w:t>
      </w:r>
    </w:p>
    <w:p>
      <w:pPr>
        <w:pStyle w:val="SubheadingSmall"/>
      </w:pPr>
      <w:r>
        <w:t>A comparative analysis of voice, narrative structure, comedic timing, and visual-storytelling cues in two Everything Professor scripts</w:t>
      </w:r>
    </w:p>
    <w:p>
      <w:r>
        <w:rPr>
          <w:b/>
        </w:rPr>
        <w:t xml:space="preserve">Prepared for: </w:t>
      </w:r>
      <w:r>
        <w:t>Storyboard automation prompt &amp; workflow redesign</w:t>
      </w:r>
    </w:p>
    <w:p>
      <w:r>
        <w:rPr>
          <w:b/>
        </w:rPr>
        <w:t xml:space="preserve">Research stage: </w:t>
      </w:r>
      <w:r>
        <w:t>Script analysis only  |  October 2026</w:t>
      </w:r>
    </w:p>
    <w:p>
      <w:pPr>
        <w:pStyle w:val="Heading1"/>
      </w:pPr>
      <w:r>
        <w:t>Executive finding</w:t>
      </w:r>
    </w:p>
    <w:p>
      <w:r>
        <w:t>The defining quality is not simply “casual language.” These scripts are designed as chains of small audience experiences, broken assumptions, visual explanations and pointed reversals. The narrator keeps speaking to one person, and regularly gives abstract biology a concrete personality or object. That structure creates potential visual beats the storyboard needs to preserve.</w:t>
      </w:r>
    </w:p>
    <w:p>
      <w:r>
        <w:t>The two scripts also use DIFFERENT pacing modes. “Body Glitch” works as short, first-person-feeling incidents with quick punchlines and occasional medical cautions. “Keep You Alive” allows longer cause-and-effect demonstrations and escalating stakes. A single repetitive scene template would flatten both.</w:t>
      </w:r>
    </w:p>
    <w:p>
      <w:pPr>
        <w:pStyle w:val="Heading2"/>
      </w:pPr>
      <w:r>
        <w:t>What this report can and cannot establish</w:t>
      </w:r>
    </w:p>
    <w:p>
      <w:r>
        <w:t>Directly supported: narration structure, language, point of view, recurring rhetorical moves, examples, section-to-section differences and possible imageable moments. Not yet established: Fred’s actual shot selection, character acting, framing, joke visuals, transition vocabulary or animator handoff conventions. Those require comparing these scripts with the matching storyboards and videos.</w:t>
      </w:r>
    </w:p>
    <w:p>
      <w:pPr>
        <w:pStyle w:val="SmallNote"/>
      </w:pPr>
      <w:r>
        <w:t>This is a style and adaptation study, not a scientific fact-check. Medical explanations in the scripts are treated as source material, not verified claims. A production workflow should preserve qualified wording and flag consequential health claims for editorial review.</w:t>
      </w:r>
    </w:p>
    <w:p>
      <w:pPr>
        <w:pStyle w:val="Heading1"/>
      </w:pPr>
      <w:r>
        <w:t>1. Corpus snapshot</w:t>
      </w:r>
    </w:p>
    <w:tbl>
      <w:tblPr>
        <w:tblStyle w:val="TableGrid"/>
        <w:tblW w:type="auto" w:w="0"/>
        <w:jc w:val="center"/>
        <w:tblLayout w:type="fixed"/>
        <w:tblLook w:firstColumn="1" w:firstRow="1" w:lastColumn="0" w:lastRow="0" w:noHBand="0" w:noVBand="1" w:val="04A0"/>
      </w:tblPr>
      <w:tblGrid>
        <w:gridCol w:w="2448"/>
        <w:gridCol w:w="3485"/>
        <w:gridCol w:w="3485"/>
      </w:tblGrid>
      <w:tr>
        <w:trPr>
          <w:tblHeader/>
        </w:trPr>
        <w:tc>
          <w:tcPr>
            <w:tcW w:type="dxa" w:w="3149"/>
            <w:shd w:fill="262A53"/>
          </w:tcPr>
          <w:p>
            <w:pPr>
              <w:spacing w:after="40"/>
            </w:pPr>
            <w:r>
              <w:rPr>
                <w:b/>
                <w:color w:val="FFFFFF"/>
                <w:sz w:val="16"/>
              </w:rPr>
              <w:t>Measure</w:t>
            </w:r>
          </w:p>
        </w:tc>
        <w:tc>
          <w:tcPr>
            <w:tcW w:type="dxa" w:w="3149"/>
            <w:shd w:fill="262A53"/>
          </w:tcPr>
          <w:p>
            <w:pPr>
              <w:spacing w:after="40"/>
            </w:pPr>
            <w:r>
              <w:rPr>
                <w:b/>
                <w:color w:val="FFFFFF"/>
                <w:sz w:val="16"/>
              </w:rPr>
              <w:t>Script A: Body Glitch</w:t>
            </w:r>
          </w:p>
        </w:tc>
        <w:tc>
          <w:tcPr>
            <w:tcW w:type="dxa" w:w="3149"/>
            <w:shd w:fill="262A53"/>
          </w:tcPr>
          <w:p>
            <w:pPr>
              <w:spacing w:after="40"/>
            </w:pPr>
            <w:r>
              <w:rPr>
                <w:b/>
                <w:color w:val="FFFFFF"/>
                <w:sz w:val="16"/>
              </w:rPr>
              <w:t>Script B: Keep You Alive</w:t>
            </w:r>
          </w:p>
        </w:tc>
      </w:tr>
      <w:tr>
        <w:trPr>
          <w:cantSplit/>
        </w:trPr>
        <w:tc>
          <w:tcPr>
            <w:tcW w:type="dxa" w:w="2448"/>
            <w:vAlign w:val="center"/>
            <w:shd w:fill="F4F5FA"/>
          </w:tcPr>
          <w:p>
            <w:pPr>
              <w:spacing w:after="40" w:before="40"/>
            </w:pPr>
            <w:r>
              <w:rPr>
                <w:color w:val="172033"/>
                <w:sz w:val="16"/>
              </w:rPr>
              <w:t>Narrative topics</w:t>
            </w:r>
          </w:p>
        </w:tc>
        <w:tc>
          <w:tcPr>
            <w:tcW w:type="dxa" w:w="3485"/>
            <w:vAlign w:val="center"/>
            <w:shd w:fill="F4F5FA"/>
          </w:tcPr>
          <w:p>
            <w:pPr>
              <w:spacing w:after="40" w:before="40"/>
            </w:pPr>
            <w:r>
              <w:rPr>
                <w:color w:val="172033"/>
                <w:sz w:val="16"/>
              </w:rPr>
              <w:t>15 short titled phenomena</w:t>
            </w:r>
          </w:p>
        </w:tc>
        <w:tc>
          <w:tcPr>
            <w:tcW w:type="dxa" w:w="3485"/>
            <w:vAlign w:val="center"/>
            <w:shd w:fill="F4F5FA"/>
          </w:tcPr>
          <w:p>
            <w:pPr>
              <w:spacing w:after="40" w:before="40"/>
            </w:pPr>
            <w:r>
              <w:rPr>
                <w:color w:val="172033"/>
                <w:sz w:val="16"/>
              </w:rPr>
              <w:t>10 longer titled survival systems</w:t>
            </w:r>
          </w:p>
        </w:tc>
      </w:tr>
      <w:tr>
        <w:trPr>
          <w:cantSplit/>
        </w:trPr>
        <w:tc>
          <w:tcPr>
            <w:tcW w:type="dxa" w:w="2448"/>
            <w:vAlign w:val="center"/>
          </w:tcPr>
          <w:p>
            <w:pPr>
              <w:spacing w:after="40" w:before="40"/>
            </w:pPr>
            <w:r>
              <w:rPr>
                <w:color w:val="172033"/>
                <w:sz w:val="16"/>
              </w:rPr>
              <w:t>Approx. body words¹</w:t>
            </w:r>
          </w:p>
        </w:tc>
        <w:tc>
          <w:tcPr>
            <w:tcW w:type="dxa" w:w="3485"/>
            <w:vAlign w:val="center"/>
          </w:tcPr>
          <w:p>
            <w:pPr>
              <w:spacing w:after="40" w:before="40"/>
            </w:pPr>
            <w:r>
              <w:rPr>
                <w:color w:val="172033"/>
                <w:sz w:val="16"/>
              </w:rPr>
              <w:t>2,751</w:t>
            </w:r>
          </w:p>
        </w:tc>
        <w:tc>
          <w:tcPr>
            <w:tcW w:type="dxa" w:w="3485"/>
            <w:vAlign w:val="center"/>
          </w:tcPr>
          <w:p>
            <w:pPr>
              <w:spacing w:after="40" w:before="40"/>
            </w:pPr>
            <w:r>
              <w:rPr>
                <w:color w:val="172033"/>
                <w:sz w:val="16"/>
              </w:rPr>
              <w:t>2,466</w:t>
            </w:r>
          </w:p>
        </w:tc>
      </w:tr>
      <w:tr>
        <w:trPr>
          <w:cantSplit/>
        </w:trPr>
        <w:tc>
          <w:tcPr>
            <w:tcW w:type="dxa" w:w="2448"/>
            <w:vAlign w:val="center"/>
            <w:shd w:fill="F4F5FA"/>
          </w:tcPr>
          <w:p>
            <w:pPr>
              <w:spacing w:after="40" w:before="40"/>
            </w:pPr>
            <w:r>
              <w:rPr>
                <w:color w:val="172033"/>
                <w:sz w:val="16"/>
              </w:rPr>
              <w:t>Avg. words per topic¹</w:t>
            </w:r>
          </w:p>
        </w:tc>
        <w:tc>
          <w:tcPr>
            <w:tcW w:type="dxa" w:w="3485"/>
            <w:vAlign w:val="center"/>
            <w:shd w:fill="F4F5FA"/>
          </w:tcPr>
          <w:p>
            <w:pPr>
              <w:spacing w:after="40" w:before="40"/>
            </w:pPr>
            <w:r>
              <w:rPr>
                <w:color w:val="172033"/>
                <w:sz w:val="16"/>
              </w:rPr>
              <w:t>183 (range 177–193)</w:t>
            </w:r>
          </w:p>
        </w:tc>
        <w:tc>
          <w:tcPr>
            <w:tcW w:type="dxa" w:w="3485"/>
            <w:vAlign w:val="center"/>
            <w:shd w:fill="F4F5FA"/>
          </w:tcPr>
          <w:p>
            <w:pPr>
              <w:spacing w:after="40" w:before="40"/>
            </w:pPr>
            <w:r>
              <w:rPr>
                <w:color w:val="172033"/>
                <w:sz w:val="16"/>
              </w:rPr>
              <w:t>247 (range 219–262)</w:t>
            </w:r>
          </w:p>
        </w:tc>
      </w:tr>
      <w:tr>
        <w:trPr>
          <w:cantSplit/>
        </w:trPr>
        <w:tc>
          <w:tcPr>
            <w:tcW w:type="dxa" w:w="2448"/>
            <w:vAlign w:val="center"/>
          </w:tcPr>
          <w:p>
            <w:pPr>
              <w:spacing w:after="40" w:before="40"/>
            </w:pPr>
            <w:r>
              <w:rPr>
                <w:color w:val="172033"/>
                <w:sz w:val="16"/>
              </w:rPr>
              <w:t>Dominant entry</w:t>
            </w:r>
          </w:p>
        </w:tc>
        <w:tc>
          <w:tcPr>
            <w:tcW w:type="dxa" w:w="3485"/>
            <w:vAlign w:val="center"/>
          </w:tcPr>
          <w:p>
            <w:pPr>
              <w:spacing w:after="40" w:before="40"/>
            </w:pPr>
            <w:r>
              <w:rPr>
                <w:color w:val="172033"/>
                <w:sz w:val="16"/>
              </w:rPr>
              <w:t>Instantly recognizable sensation / moment</w:t>
            </w:r>
          </w:p>
        </w:tc>
        <w:tc>
          <w:tcPr>
            <w:tcW w:type="dxa" w:w="3485"/>
            <w:vAlign w:val="center"/>
          </w:tcPr>
          <w:p>
            <w:pPr>
              <w:spacing w:after="40" w:before="40"/>
            </w:pPr>
            <w:r>
              <w:rPr>
                <w:color w:val="172033"/>
                <w:sz w:val="16"/>
              </w:rPr>
              <w:t>Defensive mechanism or presumed “enemy”</w:t>
            </w:r>
          </w:p>
        </w:tc>
      </w:tr>
      <w:tr>
        <w:trPr>
          <w:cantSplit/>
        </w:trPr>
        <w:tc>
          <w:tcPr>
            <w:tcW w:type="dxa" w:w="2448"/>
            <w:vAlign w:val="center"/>
            <w:shd w:fill="F4F5FA"/>
          </w:tcPr>
          <w:p>
            <w:pPr>
              <w:spacing w:after="40" w:before="40"/>
            </w:pPr>
            <w:r>
              <w:rPr>
                <w:color w:val="172033"/>
                <w:sz w:val="16"/>
              </w:rPr>
              <w:t>Typical payoff</w:t>
            </w:r>
          </w:p>
        </w:tc>
        <w:tc>
          <w:tcPr>
            <w:tcW w:type="dxa" w:w="3485"/>
            <w:vAlign w:val="center"/>
            <w:shd w:fill="F4F5FA"/>
          </w:tcPr>
          <w:p>
            <w:pPr>
              <w:spacing w:after="40" w:before="40"/>
            </w:pPr>
            <w:r>
              <w:rPr>
                <w:color w:val="172033"/>
                <w:sz w:val="16"/>
              </w:rPr>
              <w:t>Wry explanation, practical reframe, sometimes caution</w:t>
            </w:r>
          </w:p>
        </w:tc>
        <w:tc>
          <w:tcPr>
            <w:tcW w:type="dxa" w:w="3485"/>
            <w:vAlign w:val="center"/>
            <w:shd w:fill="F4F5FA"/>
          </w:tcPr>
          <w:p>
            <w:pPr>
              <w:spacing w:after="40" w:before="40"/>
            </w:pPr>
            <w:r>
              <w:rPr>
                <w:color w:val="172033"/>
                <w:sz w:val="16"/>
              </w:rPr>
              <w:t>Counterintuitive survival purpose or double-edged trade-off</w:t>
            </w:r>
          </w:p>
        </w:tc>
      </w:tr>
      <w:tr>
        <w:trPr>
          <w:cantSplit/>
        </w:trPr>
        <w:tc>
          <w:tcPr>
            <w:tcW w:type="dxa" w:w="2448"/>
            <w:vAlign w:val="center"/>
          </w:tcPr>
          <w:p>
            <w:pPr>
              <w:spacing w:after="40" w:before="40"/>
            </w:pPr>
            <w:r>
              <w:rPr>
                <w:color w:val="172033"/>
                <w:sz w:val="16"/>
              </w:rPr>
              <w:t>Overall flow</w:t>
            </w:r>
          </w:p>
        </w:tc>
        <w:tc>
          <w:tcPr>
            <w:tcW w:type="dxa" w:w="3485"/>
            <w:vAlign w:val="center"/>
          </w:tcPr>
          <w:p>
            <w:pPr>
              <w:spacing w:after="40" w:before="40"/>
            </w:pPr>
            <w:r>
              <w:rPr>
                <w:color w:val="172033"/>
                <w:sz w:val="16"/>
              </w:rPr>
              <w:t>No broad introduction; consecutive mini-episodes</w:t>
            </w:r>
          </w:p>
        </w:tc>
        <w:tc>
          <w:tcPr>
            <w:tcW w:type="dxa" w:w="3485"/>
            <w:vAlign w:val="center"/>
          </w:tcPr>
          <w:p>
            <w:pPr>
              <w:spacing w:after="40" w:before="40"/>
            </w:pPr>
            <w:r>
              <w:rPr>
                <w:color w:val="172033"/>
                <w:sz w:val="16"/>
              </w:rPr>
              <w:t>Consecutive mini-episodes; one closing synthesis</w:t>
            </w:r>
          </w:p>
        </w:tc>
      </w:tr>
    </w:tbl>
    <w:p>
      <w:pPr>
        <w:spacing w:after="0"/>
      </w:pPr>
    </w:p>
    <w:p>
      <w:pPr>
        <w:pStyle w:val="SmallNote"/>
      </w:pPr>
      <w:r>
        <w:t>¹ Simple word-token count of section bodies extracted from the provided PDFs. Figures are approximate and exclude topic headings; the final synthesis of Script B is included in its last section.</w:t>
      </w:r>
    </w:p>
    <w:p>
      <w:r>
        <w:t>A notably strong pattern: the Body Glitch episodes are almost identically sized (177–193 words). This suggests a deliberately constrained episode format, even though the language feels spontaneous. Keep You Alive is similarly controlled but gives each topic roughly one-third more space.</w:t>
      </w:r>
    </w:p>
    <w:p>
      <w:pPr>
        <w:pStyle w:val="Heading1"/>
      </w:pPr>
      <w:r>
        <w:t>2. Core storytelling grammar</w:t>
      </w:r>
    </w:p>
    <w:p>
      <w:r>
        <w:t>The following is an observed tendency, not a mandatory sequence. Several sections skip or combine steps.</w:t>
      </w:r>
    </w:p>
    <w:tbl>
      <w:tblPr>
        <w:tblStyle w:val="TableGrid"/>
        <w:tblW w:type="auto" w:w="0"/>
        <w:jc w:val="center"/>
        <w:tblLayout w:type="fixed"/>
        <w:tblLook w:firstColumn="1" w:firstRow="1" w:lastColumn="0" w:lastRow="0" w:noHBand="0" w:noVBand="1" w:val="04A0"/>
      </w:tblPr>
      <w:tblGrid>
        <w:gridCol w:w="1699"/>
        <w:gridCol w:w="3154"/>
        <w:gridCol w:w="4565"/>
      </w:tblGrid>
      <w:tr>
        <w:trPr>
          <w:tblHeader/>
        </w:trPr>
        <w:tc>
          <w:tcPr>
            <w:tcW w:type="dxa" w:w="3149"/>
            <w:shd w:fill="262A53"/>
          </w:tcPr>
          <w:p>
            <w:pPr>
              <w:spacing w:after="40"/>
            </w:pPr>
            <w:r>
              <w:rPr>
                <w:b/>
                <w:color w:val="FFFFFF"/>
                <w:sz w:val="16"/>
              </w:rPr>
              <w:t>Beat</w:t>
            </w:r>
          </w:p>
        </w:tc>
        <w:tc>
          <w:tcPr>
            <w:tcW w:type="dxa" w:w="3149"/>
            <w:shd w:fill="262A53"/>
          </w:tcPr>
          <w:p>
            <w:pPr>
              <w:spacing w:after="40"/>
            </w:pPr>
            <w:r>
              <w:rPr>
                <w:b/>
                <w:color w:val="FFFFFF"/>
                <w:sz w:val="16"/>
              </w:rPr>
              <w:t>What it does</w:t>
            </w:r>
          </w:p>
        </w:tc>
        <w:tc>
          <w:tcPr>
            <w:tcW w:type="dxa" w:w="3149"/>
            <w:shd w:fill="262A53"/>
          </w:tcPr>
          <w:p>
            <w:pPr>
              <w:spacing w:after="40"/>
            </w:pPr>
            <w:r>
              <w:rPr>
                <w:b/>
                <w:color w:val="FFFFFF"/>
                <w:sz w:val="16"/>
              </w:rPr>
              <w:t>Evidence / example</w:t>
            </w:r>
          </w:p>
        </w:tc>
      </w:tr>
      <w:tr>
        <w:trPr>
          <w:cantSplit/>
        </w:trPr>
        <w:tc>
          <w:tcPr>
            <w:tcW w:type="dxa" w:w="1699"/>
            <w:vAlign w:val="center"/>
            <w:shd w:fill="F4F5FA"/>
          </w:tcPr>
          <w:p>
            <w:pPr>
              <w:spacing w:after="40" w:before="40"/>
            </w:pPr>
            <w:r>
              <w:rPr>
                <w:color w:val="172033"/>
                <w:sz w:val="16"/>
              </w:rPr>
              <w:t>1. Drop us into a moment</w:t>
            </w:r>
          </w:p>
        </w:tc>
        <w:tc>
          <w:tcPr>
            <w:tcW w:type="dxa" w:w="3154"/>
            <w:vAlign w:val="center"/>
            <w:shd w:fill="F4F5FA"/>
          </w:tcPr>
          <w:p>
            <w:pPr>
              <w:spacing w:after="40" w:before="40"/>
            </w:pPr>
            <w:r>
              <w:rPr>
                <w:color w:val="172033"/>
                <w:sz w:val="16"/>
              </w:rPr>
              <w:t>Starts with lived experience; the viewer recognizes the situation before technical terms arrive.</w:t>
            </w:r>
          </w:p>
        </w:tc>
        <w:tc>
          <w:tcPr>
            <w:tcW w:type="dxa" w:w="4565"/>
            <w:vAlign w:val="center"/>
            <w:shd w:fill="F4F5FA"/>
          </w:tcPr>
          <w:p>
            <w:pPr>
              <w:spacing w:after="40" w:before="40"/>
            </w:pPr>
            <w:r>
              <w:rPr>
                <w:color w:val="172033"/>
                <w:sz w:val="16"/>
              </w:rPr>
              <w:t>“Your phone buzzes in your pocket.” — A p.1; “You stand up too fast…” — B p.4</w:t>
            </w:r>
          </w:p>
        </w:tc>
      </w:tr>
      <w:tr>
        <w:trPr>
          <w:cantSplit/>
        </w:trPr>
        <w:tc>
          <w:tcPr>
            <w:tcW w:type="dxa" w:w="1699"/>
            <w:vAlign w:val="center"/>
          </w:tcPr>
          <w:p>
            <w:pPr>
              <w:spacing w:after="40" w:before="40"/>
            </w:pPr>
            <w:r>
              <w:rPr>
                <w:color w:val="172033"/>
                <w:sz w:val="16"/>
              </w:rPr>
              <w:t>2. Undercut what we assume</w:t>
            </w:r>
          </w:p>
        </w:tc>
        <w:tc>
          <w:tcPr>
            <w:tcW w:type="dxa" w:w="3154"/>
            <w:vAlign w:val="center"/>
          </w:tcPr>
          <w:p>
            <w:pPr>
              <w:spacing w:after="40" w:before="40"/>
            </w:pPr>
            <w:r>
              <w:rPr>
                <w:color w:val="172033"/>
                <w:sz w:val="16"/>
              </w:rPr>
              <w:t>Rejects an intuitive explanation, often sharply.</w:t>
            </w:r>
          </w:p>
        </w:tc>
        <w:tc>
          <w:tcPr>
            <w:tcW w:type="dxa" w:w="4565"/>
            <w:vAlign w:val="center"/>
          </w:tcPr>
          <w:p>
            <w:pPr>
              <w:spacing w:after="40" w:before="40"/>
            </w:pPr>
            <w:r>
              <w:rPr>
                <w:color w:val="172033"/>
                <w:sz w:val="16"/>
              </w:rPr>
              <w:t>“Your foot didn’t nap.” — A p.1; “That’s completely backward.” — B p.1</w:t>
            </w:r>
          </w:p>
        </w:tc>
      </w:tr>
      <w:tr>
        <w:trPr>
          <w:cantSplit/>
        </w:trPr>
        <w:tc>
          <w:tcPr>
            <w:tcW w:type="dxa" w:w="1699"/>
            <w:vAlign w:val="center"/>
            <w:shd w:fill="F4F5FA"/>
          </w:tcPr>
          <w:p>
            <w:pPr>
              <w:spacing w:after="40" w:before="40"/>
            </w:pPr>
            <w:r>
              <w:rPr>
                <w:color w:val="172033"/>
                <w:sz w:val="16"/>
              </w:rPr>
              <w:t>3. Explain what is really happening</w:t>
            </w:r>
          </w:p>
        </w:tc>
        <w:tc>
          <w:tcPr>
            <w:tcW w:type="dxa" w:w="3154"/>
            <w:vAlign w:val="center"/>
            <w:shd w:fill="F4F5FA"/>
          </w:tcPr>
          <w:p>
            <w:pPr>
              <w:spacing w:after="40" w:before="40"/>
            </w:pPr>
            <w:r>
              <w:rPr>
                <w:color w:val="172033"/>
                <w:sz w:val="16"/>
              </w:rPr>
              <w:t>Moves from outward symptom to internal mechanism; cause-and-effect matters.</w:t>
            </w:r>
          </w:p>
        </w:tc>
        <w:tc>
          <w:tcPr>
            <w:tcW w:type="dxa" w:w="4565"/>
            <w:vAlign w:val="center"/>
            <w:shd w:fill="F4F5FA"/>
          </w:tcPr>
          <w:p>
            <w:pPr>
              <w:spacing w:after="40" w:before="40"/>
            </w:pPr>
            <w:r>
              <w:rPr>
                <w:color w:val="172033"/>
                <w:sz w:val="16"/>
              </w:rPr>
              <w:t>Prediction machine for phantom vibration — A p.1; platelet/fibrin cascade — B p.3–4</w:t>
            </w:r>
          </w:p>
        </w:tc>
      </w:tr>
      <w:tr>
        <w:trPr>
          <w:cantSplit/>
        </w:trPr>
        <w:tc>
          <w:tcPr>
            <w:tcW w:type="dxa" w:w="1699"/>
            <w:vAlign w:val="center"/>
          </w:tcPr>
          <w:p>
            <w:pPr>
              <w:spacing w:after="40" w:before="40"/>
            </w:pPr>
            <w:r>
              <w:rPr>
                <w:color w:val="172033"/>
                <w:sz w:val="16"/>
              </w:rPr>
              <w:t>4. Translate abstraction into everyday language</w:t>
            </w:r>
          </w:p>
        </w:tc>
        <w:tc>
          <w:tcPr>
            <w:tcW w:type="dxa" w:w="3154"/>
            <w:vAlign w:val="center"/>
          </w:tcPr>
          <w:p>
            <w:pPr>
              <w:spacing w:after="40" w:before="40"/>
            </w:pPr>
            <w:r>
              <w:rPr>
                <w:color w:val="172033"/>
                <w:sz w:val="16"/>
              </w:rPr>
              <w:t>Uses alarms, machines, plumbing, war, repair crews, or intentional characters.</w:t>
            </w:r>
          </w:p>
        </w:tc>
        <w:tc>
          <w:tcPr>
            <w:tcW w:type="dxa" w:w="4565"/>
            <w:vAlign w:val="center"/>
          </w:tcPr>
          <w:p>
            <w:pPr>
              <w:spacing w:after="40" w:before="40"/>
            </w:pPr>
            <w:r>
              <w:rPr>
                <w:color w:val="172033"/>
                <w:sz w:val="16"/>
              </w:rPr>
              <w:t>“The ringing is your brain patching a hole.” — A p.3</w:t>
            </w:r>
          </w:p>
        </w:tc>
      </w:tr>
      <w:tr>
        <w:trPr>
          <w:cantSplit/>
        </w:trPr>
        <w:tc>
          <w:tcPr>
            <w:tcW w:type="dxa" w:w="1699"/>
            <w:vAlign w:val="center"/>
            <w:shd w:fill="F4F5FA"/>
          </w:tcPr>
          <w:p>
            <w:pPr>
              <w:spacing w:after="40" w:before="40"/>
            </w:pPr>
            <w:r>
              <w:rPr>
                <w:color w:val="172033"/>
                <w:sz w:val="16"/>
              </w:rPr>
              <w:t>5. Turn it one more time</w:t>
            </w:r>
          </w:p>
        </w:tc>
        <w:tc>
          <w:tcPr>
            <w:tcW w:type="dxa" w:w="3154"/>
            <w:vAlign w:val="center"/>
            <w:shd w:fill="F4F5FA"/>
          </w:tcPr>
          <w:p>
            <w:pPr>
              <w:spacing w:after="40" w:before="40"/>
            </w:pPr>
            <w:r>
              <w:rPr>
                <w:color w:val="172033"/>
                <w:sz w:val="16"/>
              </w:rPr>
              <w:t>Closes on an irony, consequence, relief, unsettling implication, or safety boundary.</w:t>
            </w:r>
          </w:p>
        </w:tc>
        <w:tc>
          <w:tcPr>
            <w:tcW w:type="dxa" w:w="4565"/>
            <w:vAlign w:val="center"/>
            <w:shd w:fill="F4F5FA"/>
          </w:tcPr>
          <w:p>
            <w:pPr>
              <w:spacing w:after="40" w:before="40"/>
            </w:pPr>
            <w:r>
              <w:rPr>
                <w:color w:val="172033"/>
                <w:sz w:val="16"/>
              </w:rPr>
              <w:t>“It’s actually recovery.” — A p.1; clotting can also create dangerous clots — B p.4</w:t>
            </w:r>
          </w:p>
        </w:tc>
      </w:tr>
    </w:tbl>
    <w:p>
      <w:pPr>
        <w:spacing w:after="0"/>
      </w:pPr>
    </w:p>
    <w:p>
      <w:r>
        <w:t>Important: the visual opportunities occur at the turns between these beats, not automatically at every sentence or every fixed number of seconds. The emotional point of a scene can change even when the subject remains the same.</w:t>
      </w:r>
    </w:p>
    <w:p>
      <w:pPr>
        <w:pStyle w:val="Heading1"/>
      </w:pPr>
      <w:r>
        <w:t>3. The voice: why it feels conversational</w:t>
      </w:r>
    </w:p>
    <w:p>
      <w:pPr>
        <w:spacing w:after="100"/>
      </w:pPr>
      <w:r>
        <w:rPr>
          <w:b/>
          <w:color w:val="5653BE"/>
        </w:rPr>
        <w:t xml:space="preserve">01  Direct second-person address.  </w:t>
      </w:r>
      <w:r>
        <w:t>The narrator puts the viewer inside the event: “You sit weird…”, “You stand up too fast…”. This creates a personal subject and an implied on-screen perspective, even when no character name is given.</w:t>
      </w:r>
      <w:r>
        <w:rPr>
          <w:color w:val="4B586D"/>
          <w:sz w:val="16"/>
        </w:rPr>
        <w:t xml:space="preserve">  [A pp.1, 4; B p.4]</w:t>
      </w:r>
    </w:p>
    <w:p>
      <w:pPr>
        <w:spacing w:after="100"/>
      </w:pPr>
      <w:r>
        <w:rPr>
          <w:b/>
          <w:color w:val="5653BE"/>
        </w:rPr>
        <w:t xml:space="preserve">02  Contractions and natural speech.  </w:t>
      </w:r>
      <w:r>
        <w:t>“You’re”, “it’s”, “didn’t” and “here’s” make scientific explanation sound spoken rather than read aloud from an encyclopedia.</w:t>
      </w:r>
      <w:r>
        <w:rPr>
          <w:color w:val="4B586D"/>
          <w:sz w:val="16"/>
        </w:rPr>
        <w:t xml:space="preserve">  [Throughout A and B]</w:t>
      </w:r>
    </w:p>
    <w:p>
      <w:pPr>
        <w:spacing w:after="100"/>
      </w:pPr>
      <w:r>
        <w:rPr>
          <w:b/>
          <w:color w:val="5653BE"/>
        </w:rPr>
        <w:t xml:space="preserve">03  Fragments as punchlines.  </w:t>
      </w:r>
      <w:r>
        <w:t>Short bursts such as “Nothing.”, “No warning.” and “Then it clears.” create timed pauses. The silence after a fragment can be as important as its literal meaning.</w:t>
      </w:r>
      <w:r>
        <w:rPr>
          <w:color w:val="4B586D"/>
          <w:sz w:val="16"/>
        </w:rPr>
        <w:t xml:space="preserve">  [A pp.1, 4]</w:t>
      </w:r>
    </w:p>
    <w:p>
      <w:pPr>
        <w:spacing w:after="100"/>
      </w:pPr>
      <w:r>
        <w:rPr>
          <w:b/>
          <w:color w:val="5653BE"/>
        </w:rPr>
        <w:t xml:space="preserve">04  Expectation reversal.  </w:t>
      </w:r>
      <w:r>
        <w:t>“Not X; actually Y” appears repeatedly: sensations that feel harmful are recovery, discomfort is defense, involuntary behavior has a purpose. The surprise is structural, not decorative.</w:t>
      </w:r>
      <w:r>
        <w:rPr>
          <w:color w:val="4B586D"/>
          <w:sz w:val="16"/>
        </w:rPr>
        <w:t xml:space="preserve">  [A p.1; B pp.1–3]</w:t>
      </w:r>
    </w:p>
    <w:p>
      <w:pPr>
        <w:spacing w:after="100"/>
      </w:pPr>
      <w:r>
        <w:rPr>
          <w:b/>
          <w:color w:val="5653BE"/>
        </w:rPr>
        <w:t xml:space="preserve">05  Confident, informal narrator.  </w:t>
      </w:r>
      <w:r>
        <w:t>The voice has opinions: “adorable and completely wrong,” “basically a report card,” “almost insultingly simple.” It sounds like someone explaining things to a friend.</w:t>
      </w:r>
      <w:r>
        <w:rPr>
          <w:color w:val="4B586D"/>
          <w:sz w:val="16"/>
        </w:rPr>
        <w:t xml:space="preserve">  [A pp.1–2, 5]</w:t>
      </w:r>
    </w:p>
    <w:p>
      <w:pPr>
        <w:spacing w:after="100"/>
      </w:pPr>
      <w:r>
        <w:rPr>
          <w:b/>
          <w:color w:val="5653BE"/>
        </w:rPr>
        <w:t xml:space="preserve">06  Body systems with agency.  </w:t>
      </w:r>
      <w:r>
        <w:t>Brains “protest,” nerves “reboot,” bodies “decide,” defense systems “go on offense.” Internal processes become characters with intentions, allowing narrative conflict.</w:t>
      </w:r>
      <w:r>
        <w:rPr>
          <w:color w:val="4B586D"/>
          <w:sz w:val="16"/>
        </w:rPr>
        <w:t xml:space="preserve">  [A pp.1–2; B pp.1, 4]</w:t>
      </w:r>
    </w:p>
    <w:p>
      <w:pPr>
        <w:spacing w:after="100"/>
      </w:pPr>
      <w:r>
        <w:rPr>
          <w:b/>
          <w:color w:val="5653BE"/>
        </w:rPr>
        <w:t xml:space="preserve">07  Specific rather than abstract.  </w:t>
      </w:r>
      <w:r>
        <w:t>Phone/pocket, hot stove, hill in a car, ominous text message, concert earplugs, cat with raised fur. Concrete nouns give the narration ready-made visual anchors.</w:t>
      </w:r>
      <w:r>
        <w:rPr>
          <w:color w:val="4B586D"/>
          <w:sz w:val="16"/>
        </w:rPr>
        <w:t xml:space="preserve">  [A pp.1, 3, 5; B pp.1, 5]</w:t>
      </w:r>
    </w:p>
    <w:p>
      <w:pPr>
        <w:spacing w:after="100"/>
      </w:pPr>
      <w:r>
        <w:rPr>
          <w:b/>
          <w:color w:val="5653BE"/>
        </w:rPr>
        <w:t xml:space="preserve">08  Escalation and feedback loops.  </w:t>
      </w:r>
      <w:r>
        <w:t>The viewer notices a symptom → worries → causes more of the symptom. This is told as an escalating trap rather than an isolated fact.</w:t>
      </w:r>
      <w:r>
        <w:rPr>
          <w:color w:val="4B586D"/>
          <w:sz w:val="16"/>
        </w:rPr>
        <w:t xml:space="preserve">  [Muscle twitch &amp; palpitations — A pp.4, 6]</w:t>
      </w:r>
    </w:p>
    <w:p>
      <w:pPr>
        <w:spacing w:after="100"/>
      </w:pPr>
      <w:r>
        <w:rPr>
          <w:b/>
          <w:color w:val="5653BE"/>
        </w:rPr>
        <w:t xml:space="preserve">09  Humor with a functional job.  </w:t>
      </w:r>
      <w:r>
        <w:t>The joke usually reframes the mechanism: “Your foot didn’t nap,” “Your face being honest without permission.” Humor is used to make the concept memorable, not as random decoration.</w:t>
      </w:r>
      <w:r>
        <w:rPr>
          <w:color w:val="4B586D"/>
          <w:sz w:val="16"/>
        </w:rPr>
        <w:t xml:space="preserve">  [A pp.1, 6]</w:t>
      </w:r>
    </w:p>
    <w:p>
      <w:pPr>
        <w:spacing w:after="100"/>
      </w:pPr>
      <w:r>
        <w:rPr>
          <w:b/>
          <w:color w:val="5653BE"/>
        </w:rPr>
        <w:t xml:space="preserve">10  Safety shift in tone.  </w:t>
      </w:r>
      <w:r>
        <w:t>Some topics deliberately abandon the joke to say when something needs medical attention. A storyboard should notice that tonal change instead of playing the entire section for laughs.</w:t>
      </w:r>
      <w:r>
        <w:rPr>
          <w:color w:val="4B586D"/>
          <w:sz w:val="16"/>
        </w:rPr>
        <w:t xml:space="preserve">  [Chest stitch, palpitations, brain zaps — A pp.2, 5–7]</w:t>
      </w:r>
    </w:p>
    <w:p>
      <w:pPr>
        <w:pStyle w:val="Heading1"/>
      </w:pPr>
      <w:r>
        <w:t>4. Two distinct narrative modes</w:t>
      </w:r>
    </w:p>
    <w:tbl>
      <w:tblPr>
        <w:tblStyle w:val="TableGrid"/>
        <w:tblW w:type="auto" w:w="0"/>
        <w:jc w:val="center"/>
        <w:tblLayout w:type="fixed"/>
        <w:tblLook w:firstColumn="1" w:firstRow="1" w:lastColumn="0" w:lastRow="0" w:noHBand="0" w:noVBand="1" w:val="04A0"/>
      </w:tblPr>
      <w:tblGrid>
        <w:gridCol w:w="1627"/>
        <w:gridCol w:w="3888"/>
        <w:gridCol w:w="3888"/>
      </w:tblGrid>
      <w:tr>
        <w:trPr>
          <w:tblHeader/>
        </w:trPr>
        <w:tc>
          <w:tcPr>
            <w:tcW w:type="dxa" w:w="3149"/>
            <w:shd w:fill="262A53"/>
          </w:tcPr>
          <w:p>
            <w:pPr>
              <w:spacing w:after="40"/>
            </w:pPr>
            <w:r>
              <w:rPr>
                <w:b/>
                <w:color w:val="FFFFFF"/>
                <w:sz w:val="16"/>
              </w:rPr>
            </w:r>
          </w:p>
        </w:tc>
        <w:tc>
          <w:tcPr>
            <w:tcW w:type="dxa" w:w="3149"/>
            <w:shd w:fill="262A53"/>
          </w:tcPr>
          <w:p>
            <w:pPr>
              <w:spacing w:after="40"/>
            </w:pPr>
            <w:r>
              <w:rPr>
                <w:b/>
                <w:color w:val="FFFFFF"/>
                <w:sz w:val="16"/>
              </w:rPr>
              <w:t>A · Body Glitch</w:t>
            </w:r>
          </w:p>
        </w:tc>
        <w:tc>
          <w:tcPr>
            <w:tcW w:type="dxa" w:w="3149"/>
            <w:shd w:fill="262A53"/>
          </w:tcPr>
          <w:p>
            <w:pPr>
              <w:spacing w:after="40"/>
            </w:pPr>
            <w:r>
              <w:rPr>
                <w:b/>
                <w:color w:val="FFFFFF"/>
                <w:sz w:val="16"/>
              </w:rPr>
              <w:t>B · Keep You Alive</w:t>
            </w:r>
          </w:p>
        </w:tc>
      </w:tr>
      <w:tr>
        <w:trPr>
          <w:cantSplit/>
        </w:trPr>
        <w:tc>
          <w:tcPr>
            <w:tcW w:type="dxa" w:w="1627"/>
            <w:vAlign w:val="center"/>
            <w:shd w:fill="F4F5FA"/>
          </w:tcPr>
          <w:p>
            <w:pPr>
              <w:spacing w:after="40" w:before="40"/>
            </w:pPr>
            <w:r>
              <w:rPr>
                <w:color w:val="172033"/>
                <w:sz w:val="16"/>
              </w:rPr>
              <w:t>Point of entry</w:t>
            </w:r>
          </w:p>
        </w:tc>
        <w:tc>
          <w:tcPr>
            <w:tcW w:type="dxa" w:w="3888"/>
            <w:vAlign w:val="center"/>
            <w:shd w:fill="F4F5FA"/>
          </w:tcPr>
          <w:p>
            <w:pPr>
              <w:spacing w:after="40" w:before="40"/>
            </w:pPr>
            <w:r>
              <w:rPr>
                <w:color w:val="172033"/>
                <w:sz w:val="16"/>
              </w:rPr>
              <w:t>First-person bodily sensation: “this happened to me.”</w:t>
            </w:r>
          </w:p>
        </w:tc>
        <w:tc>
          <w:tcPr>
            <w:tcW w:type="dxa" w:w="3888"/>
            <w:vAlign w:val="center"/>
            <w:shd w:fill="F4F5FA"/>
          </w:tcPr>
          <w:p>
            <w:pPr>
              <w:spacing w:after="40" w:before="40"/>
            </w:pPr>
            <w:r>
              <w:rPr>
                <w:color w:val="172033"/>
                <w:sz w:val="16"/>
              </w:rPr>
              <w:t>Common interpretation: “this seems bad, but…”</w:t>
            </w:r>
          </w:p>
        </w:tc>
      </w:tr>
      <w:tr>
        <w:trPr>
          <w:cantSplit/>
        </w:trPr>
        <w:tc>
          <w:tcPr>
            <w:tcW w:type="dxa" w:w="1627"/>
            <w:vAlign w:val="center"/>
          </w:tcPr>
          <w:p>
            <w:pPr>
              <w:spacing w:after="40" w:before="40"/>
            </w:pPr>
            <w:r>
              <w:rPr>
                <w:color w:val="172033"/>
                <w:sz w:val="16"/>
              </w:rPr>
              <w:t>Voice energy</w:t>
            </w:r>
          </w:p>
        </w:tc>
        <w:tc>
          <w:tcPr>
            <w:tcW w:type="dxa" w:w="3888"/>
            <w:vAlign w:val="center"/>
          </w:tcPr>
          <w:p>
            <w:pPr>
              <w:spacing w:after="40" w:before="40"/>
            </w:pPr>
            <w:r>
              <w:rPr>
                <w:color w:val="172033"/>
                <w:sz w:val="16"/>
              </w:rPr>
              <w:t>Quicker, cheekier, more fragments and comedic asides.</w:t>
            </w:r>
          </w:p>
        </w:tc>
        <w:tc>
          <w:tcPr>
            <w:tcW w:type="dxa" w:w="3888"/>
            <w:vAlign w:val="center"/>
          </w:tcPr>
          <w:p>
            <w:pPr>
              <w:spacing w:after="40" w:before="40"/>
            </w:pPr>
            <w:r>
              <w:rPr>
                <w:color w:val="172033"/>
                <w:sz w:val="16"/>
              </w:rPr>
              <w:t>More sustained, persuasive, higher stakes.</w:t>
            </w:r>
          </w:p>
        </w:tc>
      </w:tr>
      <w:tr>
        <w:trPr>
          <w:cantSplit/>
        </w:trPr>
        <w:tc>
          <w:tcPr>
            <w:tcW w:type="dxa" w:w="1627"/>
            <w:vAlign w:val="center"/>
            <w:shd w:fill="F4F5FA"/>
          </w:tcPr>
          <w:p>
            <w:pPr>
              <w:spacing w:after="40" w:before="40"/>
            </w:pPr>
            <w:r>
              <w:rPr>
                <w:color w:val="172033"/>
                <w:sz w:val="16"/>
              </w:rPr>
              <w:t>Explanations</w:t>
            </w:r>
          </w:p>
        </w:tc>
        <w:tc>
          <w:tcPr>
            <w:tcW w:type="dxa" w:w="3888"/>
            <w:vAlign w:val="center"/>
            <w:shd w:fill="F4F5FA"/>
          </w:tcPr>
          <w:p>
            <w:pPr>
              <w:spacing w:after="40" w:before="40"/>
            </w:pPr>
            <w:r>
              <w:rPr>
                <w:color w:val="172033"/>
                <w:sz w:val="16"/>
              </w:rPr>
              <w:t>Short mechanism after a relatable setup.</w:t>
            </w:r>
          </w:p>
        </w:tc>
        <w:tc>
          <w:tcPr>
            <w:tcW w:type="dxa" w:w="3888"/>
            <w:vAlign w:val="center"/>
            <w:shd w:fill="F4F5FA"/>
          </w:tcPr>
          <w:p>
            <w:pPr>
              <w:spacing w:after="40" w:before="40"/>
            </w:pPr>
            <w:r>
              <w:rPr>
                <w:color w:val="172033"/>
                <w:sz w:val="16"/>
              </w:rPr>
              <w:t>Longer mechanism, competing outcomes and trade-offs.</w:t>
            </w:r>
          </w:p>
        </w:tc>
      </w:tr>
      <w:tr>
        <w:trPr>
          <w:cantSplit/>
        </w:trPr>
        <w:tc>
          <w:tcPr>
            <w:tcW w:type="dxa" w:w="1627"/>
            <w:vAlign w:val="center"/>
          </w:tcPr>
          <w:p>
            <w:pPr>
              <w:spacing w:after="40" w:before="40"/>
            </w:pPr>
            <w:r>
              <w:rPr>
                <w:color w:val="172033"/>
                <w:sz w:val="16"/>
              </w:rPr>
              <w:t>Likely visual opportunities²</w:t>
            </w:r>
          </w:p>
        </w:tc>
        <w:tc>
          <w:tcPr>
            <w:tcW w:type="dxa" w:w="3888"/>
            <w:vAlign w:val="center"/>
          </w:tcPr>
          <w:p>
            <w:pPr>
              <w:spacing w:after="40" w:before="40"/>
            </w:pPr>
            <w:r>
              <w:rPr>
                <w:color w:val="172033"/>
                <w:sz w:val="16"/>
              </w:rPr>
              <w:t>Visible reactions, mistaken-sensation reveals, comic reversals, then hidden-system cutaways.</w:t>
            </w:r>
          </w:p>
        </w:tc>
        <w:tc>
          <w:tcPr>
            <w:tcW w:type="dxa" w:w="3888"/>
            <w:vAlign w:val="center"/>
          </w:tcPr>
          <w:p>
            <w:pPr>
              <w:spacing w:after="40" w:before="40"/>
            </w:pPr>
            <w:r>
              <w:rPr>
                <w:color w:val="172033"/>
                <w:sz w:val="16"/>
              </w:rPr>
              <w:t>Systems in action, causal sequences, danger comparisons, “defense becomes risk” reversals.</w:t>
            </w:r>
          </w:p>
        </w:tc>
      </w:tr>
      <w:tr>
        <w:trPr>
          <w:cantSplit/>
        </w:trPr>
        <w:tc>
          <w:tcPr>
            <w:tcW w:type="dxa" w:w="1627"/>
            <w:vAlign w:val="center"/>
            <w:shd w:fill="F4F5FA"/>
          </w:tcPr>
          <w:p>
            <w:pPr>
              <w:spacing w:after="40" w:before="40"/>
            </w:pPr>
            <w:r>
              <w:rPr>
                <w:color w:val="172033"/>
                <w:sz w:val="16"/>
              </w:rPr>
              <w:t>Ending form</w:t>
            </w:r>
          </w:p>
        </w:tc>
        <w:tc>
          <w:tcPr>
            <w:tcW w:type="dxa" w:w="3888"/>
            <w:vAlign w:val="center"/>
            <w:shd w:fill="F4F5FA"/>
          </w:tcPr>
          <w:p>
            <w:pPr>
              <w:spacing w:after="40" w:before="40"/>
            </w:pPr>
            <w:r>
              <w:rPr>
                <w:color w:val="172033"/>
                <w:sz w:val="16"/>
              </w:rPr>
              <w:t>Final quip, reassurance or explicit caution.</w:t>
            </w:r>
          </w:p>
        </w:tc>
        <w:tc>
          <w:tcPr>
            <w:tcW w:type="dxa" w:w="3888"/>
            <w:vAlign w:val="center"/>
            <w:shd w:fill="F4F5FA"/>
          </w:tcPr>
          <w:p>
            <w:pPr>
              <w:spacing w:after="40" w:before="40"/>
            </w:pPr>
            <w:r>
              <w:rPr>
                <w:color w:val="172033"/>
                <w:sz w:val="16"/>
              </w:rPr>
              <w:t>Survival reframe; some sections show a mechanism’s dangerous downside.</w:t>
            </w:r>
          </w:p>
        </w:tc>
      </w:tr>
    </w:tbl>
    <w:p>
      <w:pPr>
        <w:spacing w:after="0"/>
      </w:pPr>
    </w:p>
    <w:p>
      <w:pPr>
        <w:pStyle w:val="SmallNote"/>
      </w:pPr>
      <w:r>
        <w:t>² Visual opportunities are hypotheses inferred from narration, not descriptions of existing Evprof animation or storyboard style.</w:t>
      </w:r>
    </w:p>
    <w:p>
      <w:pPr>
        <w:pStyle w:val="Heading1"/>
      </w:pPr>
      <w:r>
        <w:t>5. Visual meaning already embedded in the scripts</w:t>
      </w:r>
    </w:p>
    <w:p>
      <w:r>
        <w:t>These scripts are more “visual” than a typical textbook explanation because the writing contains: (a) concrete actions, (b) conflict/reversal, (c) physical sensations, (d) analogies that can be dramatized, and (e) changes in mood. The storyboard generator should record those possibilities without treating the first cliché image as the only choice.</w:t>
      </w:r>
    </w:p>
    <w:p>
      <w:r>
        <w:rPr>
          <w:b/>
          <w:color w:val="5653BE"/>
        </w:rPr>
        <w:t xml:space="preserve">ACTION  </w:t>
      </w:r>
      <w:r>
        <w:t>The phone buzzes; a hand checks a pocket; someone stands and wobbles; a cut begins closing. These are physical events in the source.</w:t>
      </w:r>
    </w:p>
    <w:p>
      <w:r>
        <w:rPr>
          <w:b/>
          <w:color w:val="5653BE"/>
        </w:rPr>
        <w:t xml:space="preserve">ABSENCE / REVEAL  </w:t>
      </w:r>
      <w:r>
        <w:t>The phone never buzzed; there are no insects; the ringing has no external sound. The critical image might be the contradiction between what a character thinks and what is actually present.</w:t>
      </w:r>
    </w:p>
    <w:p>
      <w:r>
        <w:rPr>
          <w:b/>
          <w:color w:val="5653BE"/>
        </w:rPr>
        <w:t xml:space="preserve">INTERNAL MECHANISM  </w:t>
      </w:r>
      <w:r>
        <w:t>Nerves misfire; vessels change blood flow; the immune system reacts. They can be explained via cutaways, symbolic staging or other visual grammar, but exact Evprof conventions must be learned from the storyboards.</w:t>
      </w:r>
    </w:p>
    <w:p>
      <w:r>
        <w:rPr>
          <w:b/>
          <w:color w:val="5653BE"/>
        </w:rPr>
        <w:t xml:space="preserve">METAPHOR  </w:t>
      </w:r>
      <w:r>
        <w:t>A prediction machine, an alarm, a repair crew, an eviction notice, a loan that comes due. These are deliberate writing devices and possible animation concepts, not requirements to literally put machines in every body.</w:t>
      </w:r>
    </w:p>
    <w:p>
      <w:r>
        <w:rPr>
          <w:b/>
          <w:color w:val="5653BE"/>
        </w:rPr>
        <w:t xml:space="preserve">EMOTIONAL TURN  </w:t>
      </w:r>
      <w:r>
        <w:t>Comfort → unease, fear → relief, reassurance → warning, apparent malfunction → survival strategy. Scene design should follow the change of attitude rather than merely the nouns.</w:t>
      </w:r>
    </w:p>
    <w:p>
      <w:pPr>
        <w:pStyle w:val="Heading1"/>
      </w:pPr>
      <w:r>
        <w:t>6. Micro-analysis: two script-to-scene opportunities</w:t>
      </w:r>
    </w:p>
    <w:p>
      <w:r>
        <w:t>These are provisional scene-beat interpretations created solely from the scripts. They are not the original Evprof storyboard and should not be presented to Fred as style-matched yet.</w:t>
      </w:r>
    </w:p>
    <w:p>
      <w:pPr>
        <w:pStyle w:val="Heading2"/>
      </w:pPr>
      <w:r>
        <w:t>Example A — Phantom Phone Vibration (A p.1)</w:t>
      </w:r>
    </w:p>
    <w:tbl>
      <w:tblPr>
        <w:tblStyle w:val="TableGrid"/>
        <w:tblW w:type="auto" w:w="0"/>
        <w:jc w:val="center"/>
        <w:tblLayout w:type="fixed"/>
        <w:tblLook w:firstColumn="1" w:firstRow="1" w:lastColumn="0" w:lastRow="0" w:noHBand="0" w:noVBand="1" w:val="04A0"/>
      </w:tblPr>
      <w:tblGrid>
        <w:gridCol w:w="1440"/>
        <w:gridCol w:w="2880"/>
        <w:gridCol w:w="5083"/>
      </w:tblGrid>
      <w:tr>
        <w:trPr>
          <w:tblHeader/>
        </w:trPr>
        <w:tc>
          <w:tcPr>
            <w:tcW w:type="dxa" w:w="3149"/>
            <w:shd w:fill="262A53"/>
          </w:tcPr>
          <w:p>
            <w:pPr>
              <w:spacing w:after="40"/>
            </w:pPr>
            <w:r>
              <w:rPr>
                <w:b/>
                <w:color w:val="FFFFFF"/>
                <w:sz w:val="16"/>
              </w:rPr>
              <w:t>Narrative beat</w:t>
            </w:r>
          </w:p>
        </w:tc>
        <w:tc>
          <w:tcPr>
            <w:tcW w:type="dxa" w:w="3149"/>
            <w:shd w:fill="262A53"/>
          </w:tcPr>
          <w:p>
            <w:pPr>
              <w:spacing w:after="40"/>
            </w:pPr>
            <w:r>
              <w:rPr>
                <w:b/>
                <w:color w:val="FFFFFF"/>
                <w:sz w:val="16"/>
              </w:rPr>
              <w:t>Evidence in narration</w:t>
            </w:r>
          </w:p>
        </w:tc>
        <w:tc>
          <w:tcPr>
            <w:tcW w:type="dxa" w:w="3149"/>
            <w:shd w:fill="262A53"/>
          </w:tcPr>
          <w:p>
            <w:pPr>
              <w:spacing w:after="40"/>
            </w:pPr>
            <w:r>
              <w:rPr>
                <w:b/>
                <w:color w:val="FFFFFF"/>
                <w:sz w:val="16"/>
              </w:rPr>
              <w:t>Storyboard implication to investigate</w:t>
            </w:r>
          </w:p>
        </w:tc>
      </w:tr>
      <w:tr>
        <w:trPr>
          <w:cantSplit/>
        </w:trPr>
        <w:tc>
          <w:tcPr>
            <w:tcW w:type="dxa" w:w="1440"/>
            <w:vAlign w:val="center"/>
            <w:shd w:fill="F4F5FA"/>
          </w:tcPr>
          <w:p>
            <w:pPr>
              <w:spacing w:after="40" w:before="40"/>
            </w:pPr>
            <w:r>
              <w:rPr>
                <w:color w:val="172033"/>
                <w:sz w:val="16"/>
              </w:rPr>
              <w:t>Lived moment</w:t>
            </w:r>
          </w:p>
        </w:tc>
        <w:tc>
          <w:tcPr>
            <w:tcW w:type="dxa" w:w="2880"/>
            <w:vAlign w:val="center"/>
            <w:shd w:fill="F4F5FA"/>
          </w:tcPr>
          <w:p>
            <w:pPr>
              <w:spacing w:after="40" w:before="40"/>
            </w:pPr>
            <w:r>
              <w:rPr>
                <w:color w:val="172033"/>
                <w:sz w:val="16"/>
              </w:rPr>
              <w:t>A pocket buzz; immediate reach; nothing.</w:t>
            </w:r>
          </w:p>
        </w:tc>
        <w:tc>
          <w:tcPr>
            <w:tcW w:type="dxa" w:w="5083"/>
            <w:vAlign w:val="center"/>
            <w:shd w:fill="F4F5FA"/>
          </w:tcPr>
          <w:p>
            <w:pPr>
              <w:spacing w:after="40" w:before="40"/>
            </w:pPr>
            <w:r>
              <w:rPr>
                <w:color w:val="172033"/>
                <w:sz w:val="16"/>
              </w:rPr>
              <w:t>Show the felt cue, response and contradiction as separate readable actions, perhaps a reaction/reveal rather than one static “person looks at phone.”</w:t>
            </w:r>
          </w:p>
        </w:tc>
      </w:tr>
      <w:tr>
        <w:trPr>
          <w:cantSplit/>
        </w:trPr>
        <w:tc>
          <w:tcPr>
            <w:tcW w:type="dxa" w:w="1440"/>
            <w:vAlign w:val="center"/>
          </w:tcPr>
          <w:p>
            <w:pPr>
              <w:spacing w:after="40" w:before="40"/>
            </w:pPr>
            <w:r>
              <w:rPr>
                <w:color w:val="172033"/>
                <w:sz w:val="16"/>
              </w:rPr>
              <w:t>Name the paradox</w:t>
            </w:r>
          </w:p>
        </w:tc>
        <w:tc>
          <w:tcPr>
            <w:tcW w:type="dxa" w:w="2880"/>
            <w:vAlign w:val="center"/>
          </w:tcPr>
          <w:p>
            <w:pPr>
              <w:spacing w:after="40" w:before="40"/>
            </w:pPr>
            <w:r>
              <w:rPr>
                <w:color w:val="172033"/>
                <w:sz w:val="16"/>
              </w:rPr>
              <w:t>The brain invented the sensation.</w:t>
            </w:r>
          </w:p>
        </w:tc>
        <w:tc>
          <w:tcPr>
            <w:tcW w:type="dxa" w:w="5083"/>
            <w:vAlign w:val="center"/>
          </w:tcPr>
          <w:p>
            <w:pPr>
              <w:spacing w:after="40" w:before="40"/>
            </w:pPr>
            <w:r>
              <w:rPr>
                <w:color w:val="172033"/>
                <w:sz w:val="16"/>
              </w:rPr>
              <w:t>Make the mismatch between belief and reality legible before moving into explanation.</w:t>
            </w:r>
          </w:p>
        </w:tc>
      </w:tr>
      <w:tr>
        <w:trPr>
          <w:cantSplit/>
        </w:trPr>
        <w:tc>
          <w:tcPr>
            <w:tcW w:type="dxa" w:w="1440"/>
            <w:vAlign w:val="center"/>
            <w:shd w:fill="F4F5FA"/>
          </w:tcPr>
          <w:p>
            <w:pPr>
              <w:spacing w:after="40" w:before="40"/>
            </w:pPr>
            <w:r>
              <w:rPr>
                <w:color w:val="172033"/>
                <w:sz w:val="16"/>
              </w:rPr>
              <w:t>Mechanism</w:t>
            </w:r>
          </w:p>
        </w:tc>
        <w:tc>
          <w:tcPr>
            <w:tcW w:type="dxa" w:w="2880"/>
            <w:vAlign w:val="center"/>
            <w:shd w:fill="F4F5FA"/>
          </w:tcPr>
          <w:p>
            <w:pPr>
              <w:spacing w:after="40" w:before="40"/>
            </w:pPr>
            <w:r>
              <w:rPr>
                <w:color w:val="172033"/>
                <w:sz w:val="16"/>
              </w:rPr>
              <w:t>Prediction machine learns to prioritize phone signals.</w:t>
            </w:r>
          </w:p>
        </w:tc>
        <w:tc>
          <w:tcPr>
            <w:tcW w:type="dxa" w:w="5083"/>
            <w:vAlign w:val="center"/>
            <w:shd w:fill="F4F5FA"/>
          </w:tcPr>
          <w:p>
            <w:pPr>
              <w:spacing w:after="40" w:before="40"/>
            </w:pPr>
            <w:r>
              <w:rPr>
                <w:color w:val="172033"/>
                <w:sz w:val="16"/>
              </w:rPr>
              <w:t>Decide whether the channel normally illustrates internal predictions with symbolic props, environmental acting or a simplified internal cutaway.</w:t>
            </w:r>
          </w:p>
        </w:tc>
      </w:tr>
      <w:tr>
        <w:trPr>
          <w:cantSplit/>
        </w:trPr>
        <w:tc>
          <w:tcPr>
            <w:tcW w:type="dxa" w:w="1440"/>
            <w:vAlign w:val="center"/>
          </w:tcPr>
          <w:p>
            <w:pPr>
              <w:spacing w:after="40" w:before="40"/>
            </w:pPr>
            <w:r>
              <w:rPr>
                <w:color w:val="172033"/>
                <w:sz w:val="16"/>
              </w:rPr>
              <w:t>Everyday triggers</w:t>
            </w:r>
          </w:p>
        </w:tc>
        <w:tc>
          <w:tcPr>
            <w:tcW w:type="dxa" w:w="2880"/>
            <w:vAlign w:val="center"/>
          </w:tcPr>
          <w:p>
            <w:pPr>
              <w:spacing w:after="40" w:before="40"/>
            </w:pPr>
            <w:r>
              <w:rPr>
                <w:color w:val="172033"/>
                <w:sz w:val="16"/>
              </w:rPr>
              <w:t>Muscle twitch, shifting fabric, itch.</w:t>
            </w:r>
          </w:p>
        </w:tc>
        <w:tc>
          <w:tcPr>
            <w:tcW w:type="dxa" w:w="5083"/>
            <w:vAlign w:val="center"/>
          </w:tcPr>
          <w:p>
            <w:pPr>
              <w:spacing w:after="40" w:before="40"/>
            </w:pPr>
            <w:r>
              <w:rPr>
                <w:color w:val="172033"/>
                <w:sz w:val="16"/>
              </w:rPr>
              <w:t>Consider an escalating sequence of genuine small cues mistaken for a notification.</w:t>
            </w:r>
          </w:p>
        </w:tc>
      </w:tr>
      <w:tr>
        <w:trPr>
          <w:cantSplit/>
        </w:trPr>
        <w:tc>
          <w:tcPr>
            <w:tcW w:type="dxa" w:w="1440"/>
            <w:vAlign w:val="center"/>
            <w:shd w:fill="F4F5FA"/>
          </w:tcPr>
          <w:p>
            <w:pPr>
              <w:spacing w:after="40" w:before="40"/>
            </w:pPr>
            <w:r>
              <w:rPr>
                <w:color w:val="172033"/>
                <w:sz w:val="16"/>
              </w:rPr>
              <w:t>Final sting</w:t>
            </w:r>
          </w:p>
        </w:tc>
        <w:tc>
          <w:tcPr>
            <w:tcW w:type="dxa" w:w="2880"/>
            <w:vAlign w:val="center"/>
            <w:shd w:fill="F4F5FA"/>
          </w:tcPr>
          <w:p>
            <w:pPr>
              <w:spacing w:after="40" w:before="40"/>
            </w:pPr>
            <w:r>
              <w:rPr>
                <w:color w:val="172033"/>
                <w:sz w:val="16"/>
              </w:rPr>
              <w:t>Attention to phone primes more false alerts.</w:t>
            </w:r>
          </w:p>
        </w:tc>
        <w:tc>
          <w:tcPr>
            <w:tcW w:type="dxa" w:w="5083"/>
            <w:vAlign w:val="center"/>
            <w:shd w:fill="F4F5FA"/>
          </w:tcPr>
          <w:p>
            <w:pPr>
              <w:spacing w:after="40" w:before="40"/>
            </w:pPr>
            <w:r>
              <w:rPr>
                <w:color w:val="172033"/>
                <w:sz w:val="16"/>
              </w:rPr>
              <w:t>Land on habit/reaction or a visual irony, not a generic “brain activity” ending.</w:t>
            </w:r>
          </w:p>
        </w:tc>
      </w:tr>
    </w:tbl>
    <w:p>
      <w:pPr>
        <w:spacing w:after="0"/>
      </w:pPr>
    </w:p>
    <w:p>
      <w:pPr>
        <w:pStyle w:val="Heading2"/>
      </w:pPr>
      <w:r>
        <w:t>Example B — Fainting (B p.4)</w:t>
      </w:r>
    </w:p>
    <w:tbl>
      <w:tblPr>
        <w:tblStyle w:val="TableGrid"/>
        <w:tblW w:type="auto" w:w="0"/>
        <w:jc w:val="center"/>
        <w:tblLayout w:type="fixed"/>
        <w:tblLook w:firstColumn="1" w:firstRow="1" w:lastColumn="0" w:lastRow="0" w:noHBand="0" w:noVBand="1" w:val="04A0"/>
      </w:tblPr>
      <w:tblGrid>
        <w:gridCol w:w="1440"/>
        <w:gridCol w:w="2880"/>
        <w:gridCol w:w="5083"/>
      </w:tblGrid>
      <w:tr>
        <w:trPr>
          <w:tblHeader/>
        </w:trPr>
        <w:tc>
          <w:tcPr>
            <w:tcW w:type="dxa" w:w="3149"/>
            <w:shd w:fill="262A53"/>
          </w:tcPr>
          <w:p>
            <w:pPr>
              <w:spacing w:after="40"/>
            </w:pPr>
            <w:r>
              <w:rPr>
                <w:b/>
                <w:color w:val="FFFFFF"/>
                <w:sz w:val="16"/>
              </w:rPr>
              <w:t>Narrative beat</w:t>
            </w:r>
          </w:p>
        </w:tc>
        <w:tc>
          <w:tcPr>
            <w:tcW w:type="dxa" w:w="3149"/>
            <w:shd w:fill="262A53"/>
          </w:tcPr>
          <w:p>
            <w:pPr>
              <w:spacing w:after="40"/>
            </w:pPr>
            <w:r>
              <w:rPr>
                <w:b/>
                <w:color w:val="FFFFFF"/>
                <w:sz w:val="16"/>
              </w:rPr>
              <w:t>Evidence in narration</w:t>
            </w:r>
          </w:p>
        </w:tc>
        <w:tc>
          <w:tcPr>
            <w:tcW w:type="dxa" w:w="3149"/>
            <w:shd w:fill="262A53"/>
          </w:tcPr>
          <w:p>
            <w:pPr>
              <w:spacing w:after="40"/>
            </w:pPr>
            <w:r>
              <w:rPr>
                <w:b/>
                <w:color w:val="FFFFFF"/>
                <w:sz w:val="16"/>
              </w:rPr>
              <w:t>Storyboard implication to investigate</w:t>
            </w:r>
          </w:p>
        </w:tc>
      </w:tr>
      <w:tr>
        <w:trPr>
          <w:cantSplit/>
        </w:trPr>
        <w:tc>
          <w:tcPr>
            <w:tcW w:type="dxa" w:w="1440"/>
            <w:vAlign w:val="center"/>
            <w:shd w:fill="F4F5FA"/>
          </w:tcPr>
          <w:p>
            <w:pPr>
              <w:spacing w:after="40" w:before="40"/>
            </w:pPr>
            <w:r>
              <w:rPr>
                <w:color w:val="172033"/>
                <w:sz w:val="16"/>
              </w:rPr>
              <w:t>Incident</w:t>
            </w:r>
          </w:p>
        </w:tc>
        <w:tc>
          <w:tcPr>
            <w:tcW w:type="dxa" w:w="2880"/>
            <w:vAlign w:val="center"/>
            <w:shd w:fill="F4F5FA"/>
          </w:tcPr>
          <w:p>
            <w:pPr>
              <w:spacing w:after="40" w:before="40"/>
            </w:pPr>
            <w:r>
              <w:rPr>
                <w:color w:val="172033"/>
                <w:sz w:val="16"/>
              </w:rPr>
              <w:t>Stand up; tunnel vision; suddenly on floor.</w:t>
            </w:r>
          </w:p>
        </w:tc>
        <w:tc>
          <w:tcPr>
            <w:tcW w:type="dxa" w:w="5083"/>
            <w:vAlign w:val="center"/>
            <w:shd w:fill="F4F5FA"/>
          </w:tcPr>
          <w:p>
            <w:pPr>
              <w:spacing w:after="40" w:before="40"/>
            </w:pPr>
            <w:r>
              <w:rPr>
                <w:color w:val="172033"/>
                <w:sz w:val="16"/>
              </w:rPr>
              <w:t>Establish before/after positions and character reaction so the event reads instantly.</w:t>
            </w:r>
          </w:p>
        </w:tc>
      </w:tr>
      <w:tr>
        <w:trPr>
          <w:cantSplit/>
        </w:trPr>
        <w:tc>
          <w:tcPr>
            <w:tcW w:type="dxa" w:w="1440"/>
            <w:vAlign w:val="center"/>
          </w:tcPr>
          <w:p>
            <w:pPr>
              <w:spacing w:after="40" w:before="40"/>
            </w:pPr>
            <w:r>
              <w:rPr>
                <w:color w:val="172033"/>
                <w:sz w:val="16"/>
              </w:rPr>
              <w:t>Counterintuitive claim</w:t>
            </w:r>
          </w:p>
        </w:tc>
        <w:tc>
          <w:tcPr>
            <w:tcW w:type="dxa" w:w="2880"/>
            <w:vAlign w:val="center"/>
          </w:tcPr>
          <w:p>
            <w:pPr>
              <w:spacing w:after="40" w:before="40"/>
            </w:pPr>
            <w:r>
              <w:rPr>
                <w:color w:val="172033"/>
                <w:sz w:val="16"/>
              </w:rPr>
              <w:t>Malfunction reframed as rescue.</w:t>
            </w:r>
          </w:p>
        </w:tc>
        <w:tc>
          <w:tcPr>
            <w:tcW w:type="dxa" w:w="5083"/>
            <w:vAlign w:val="center"/>
          </w:tcPr>
          <w:p>
            <w:pPr>
              <w:spacing w:after="40" w:before="40"/>
            </w:pPr>
            <w:r>
              <w:rPr>
                <w:color w:val="172033"/>
                <w:sz w:val="16"/>
              </w:rPr>
              <w:t>Show a narrative turn; if comic staging is used, the moment of reversal needs special timing.</w:t>
            </w:r>
          </w:p>
        </w:tc>
      </w:tr>
      <w:tr>
        <w:trPr>
          <w:cantSplit/>
        </w:trPr>
        <w:tc>
          <w:tcPr>
            <w:tcW w:type="dxa" w:w="1440"/>
            <w:vAlign w:val="center"/>
            <w:shd w:fill="F4F5FA"/>
          </w:tcPr>
          <w:p>
            <w:pPr>
              <w:spacing w:after="40" w:before="40"/>
            </w:pPr>
            <w:r>
              <w:rPr>
                <w:color w:val="172033"/>
                <w:sz w:val="16"/>
              </w:rPr>
              <w:t>Causal explanation</w:t>
            </w:r>
          </w:p>
        </w:tc>
        <w:tc>
          <w:tcPr>
            <w:tcW w:type="dxa" w:w="2880"/>
            <w:vAlign w:val="center"/>
            <w:shd w:fill="F4F5FA"/>
          </w:tcPr>
          <w:p>
            <w:pPr>
              <w:spacing w:after="40" w:before="40"/>
            </w:pPr>
            <w:r>
              <w:rPr>
                <w:color w:val="172033"/>
                <w:sz w:val="16"/>
              </w:rPr>
              <w:t>Drop in blood flow/pressure, then horizontal position.</w:t>
            </w:r>
          </w:p>
        </w:tc>
        <w:tc>
          <w:tcPr>
            <w:tcW w:type="dxa" w:w="5083"/>
            <w:vAlign w:val="center"/>
            <w:shd w:fill="F4F5FA"/>
          </w:tcPr>
          <w:p>
            <w:pPr>
              <w:spacing w:after="40" w:before="40"/>
            </w:pPr>
            <w:r>
              <w:rPr>
                <w:color w:val="172033"/>
                <w:sz w:val="16"/>
              </w:rPr>
              <w:t>A visual sequence should distinguish triggering condition from subsequent recovery; avoid treating a biological explanation as a single frozen infographic.</w:t>
            </w:r>
          </w:p>
        </w:tc>
      </w:tr>
      <w:tr>
        <w:trPr>
          <w:cantSplit/>
        </w:trPr>
        <w:tc>
          <w:tcPr>
            <w:tcW w:type="dxa" w:w="1440"/>
            <w:vAlign w:val="center"/>
          </w:tcPr>
          <w:p>
            <w:pPr>
              <w:spacing w:after="40" w:before="40"/>
            </w:pPr>
            <w:r>
              <w:rPr>
                <w:color w:val="172033"/>
                <w:sz w:val="16"/>
              </w:rPr>
              <w:t>Risk and warning</w:t>
            </w:r>
          </w:p>
        </w:tc>
        <w:tc>
          <w:tcPr>
            <w:tcW w:type="dxa" w:w="2880"/>
            <w:vAlign w:val="center"/>
          </w:tcPr>
          <w:p>
            <w:pPr>
              <w:spacing w:after="40" w:before="40"/>
            </w:pPr>
            <w:r>
              <w:rPr>
                <w:color w:val="172033"/>
                <w:sz w:val="16"/>
              </w:rPr>
              <w:t>Collapse can cause injury; warning signals precede it.</w:t>
            </w:r>
          </w:p>
        </w:tc>
        <w:tc>
          <w:tcPr>
            <w:tcW w:type="dxa" w:w="5083"/>
            <w:vAlign w:val="center"/>
          </w:tcPr>
          <w:p>
            <w:pPr>
              <w:spacing w:after="40" w:before="40"/>
            </w:pPr>
            <w:r>
              <w:rPr>
                <w:color w:val="172033"/>
                <w:sz w:val="16"/>
              </w:rPr>
              <w:t>Retain caution in the beat and avoid humor that trivializes the injury risk.</w:t>
            </w:r>
          </w:p>
        </w:tc>
      </w:tr>
      <w:tr>
        <w:trPr>
          <w:cantSplit/>
        </w:trPr>
        <w:tc>
          <w:tcPr>
            <w:tcW w:type="dxa" w:w="1440"/>
            <w:vAlign w:val="center"/>
            <w:shd w:fill="F4F5FA"/>
          </w:tcPr>
          <w:p>
            <w:pPr>
              <w:spacing w:after="40" w:before="40"/>
            </w:pPr>
            <w:r>
              <w:rPr>
                <w:color w:val="172033"/>
                <w:sz w:val="16"/>
              </w:rPr>
              <w:t>Payoff</w:t>
            </w:r>
          </w:p>
        </w:tc>
        <w:tc>
          <w:tcPr>
            <w:tcW w:type="dxa" w:w="2880"/>
            <w:vAlign w:val="center"/>
            <w:shd w:fill="F4F5FA"/>
          </w:tcPr>
          <w:p>
            <w:pPr>
              <w:spacing w:after="40" w:before="40"/>
            </w:pPr>
            <w:r>
              <w:rPr>
                <w:color w:val="172033"/>
                <w:sz w:val="16"/>
              </w:rPr>
              <w:t>Horizontal position changes gravity’s effect.</w:t>
            </w:r>
          </w:p>
        </w:tc>
        <w:tc>
          <w:tcPr>
            <w:tcW w:type="dxa" w:w="5083"/>
            <w:vAlign w:val="center"/>
            <w:shd w:fill="F4F5FA"/>
          </w:tcPr>
          <w:p>
            <w:pPr>
              <w:spacing w:after="40" w:before="40"/>
            </w:pPr>
            <w:r>
              <w:rPr>
                <w:color w:val="172033"/>
                <w:sz w:val="16"/>
              </w:rPr>
              <w:t>End on the physical contrast that resolves the mechanism. Verify the medical characterization before publication.</w:t>
            </w:r>
          </w:p>
        </w:tc>
      </w:tr>
    </w:tbl>
    <w:p>
      <w:pPr>
        <w:spacing w:after="0"/>
      </w:pPr>
    </w:p>
    <w:p>
      <w:pPr>
        <w:pStyle w:val="Heading1"/>
      </w:pPr>
      <w:r>
        <w:t>7. Topic inventory: hooks, imagery and tonal turn</w:t>
      </w:r>
    </w:p>
    <w:p>
      <w:r>
        <w:t>An inventory of all 25 source topics. “Imageable cue” means an identifiable narrative element in the writing, not a proposed final shot.</w:t>
      </w:r>
    </w:p>
    <w:p>
      <w:pPr>
        <w:pStyle w:val="Heading2"/>
      </w:pPr>
      <w:r>
        <w:t>Script A / “Body Glitch” — 15 entries</w:t>
      </w:r>
    </w:p>
    <w:tbl>
      <w:tblPr>
        <w:tblStyle w:val="TableGrid"/>
        <w:tblW w:type="auto" w:w="0"/>
        <w:jc w:val="center"/>
        <w:tblLayout w:type="fixed"/>
        <w:tblLook w:firstColumn="1" w:firstRow="1" w:lastColumn="0" w:lastRow="0" w:noHBand="0" w:noVBand="1" w:val="04A0"/>
      </w:tblPr>
      <w:tblGrid>
        <w:gridCol w:w="2117"/>
        <w:gridCol w:w="2261"/>
        <w:gridCol w:w="4248"/>
        <w:gridCol w:w="763"/>
      </w:tblGrid>
      <w:tr>
        <w:trPr>
          <w:tblHeader/>
        </w:trPr>
        <w:tc>
          <w:tcPr>
            <w:tcW w:type="dxa" w:w="2361"/>
            <w:shd w:fill="262A53"/>
          </w:tcPr>
          <w:p>
            <w:pPr>
              <w:spacing w:after="40"/>
            </w:pPr>
            <w:r>
              <w:rPr>
                <w:b/>
                <w:color w:val="FFFFFF"/>
                <w:sz w:val="15"/>
              </w:rPr>
              <w:t>Topic</w:t>
            </w:r>
          </w:p>
        </w:tc>
        <w:tc>
          <w:tcPr>
            <w:tcW w:type="dxa" w:w="2361"/>
            <w:shd w:fill="262A53"/>
          </w:tcPr>
          <w:p>
            <w:pPr>
              <w:spacing w:after="40"/>
            </w:pPr>
            <w:r>
              <w:rPr>
                <w:b/>
                <w:color w:val="FFFFFF"/>
                <w:sz w:val="15"/>
              </w:rPr>
              <w:t>Hook / contradiction</w:t>
            </w:r>
          </w:p>
        </w:tc>
        <w:tc>
          <w:tcPr>
            <w:tcW w:type="dxa" w:w="2361"/>
            <w:shd w:fill="262A53"/>
          </w:tcPr>
          <w:p>
            <w:pPr>
              <w:spacing w:after="40"/>
            </w:pPr>
            <w:r>
              <w:rPr>
                <w:b/>
                <w:color w:val="FFFFFF"/>
                <w:sz w:val="15"/>
              </w:rPr>
              <w:t>Imageable mechanism or turn</w:t>
            </w:r>
          </w:p>
        </w:tc>
        <w:tc>
          <w:tcPr>
            <w:tcW w:type="dxa" w:w="2361"/>
            <w:shd w:fill="262A53"/>
          </w:tcPr>
          <w:p>
            <w:pPr>
              <w:spacing w:after="40"/>
            </w:pPr>
            <w:r>
              <w:rPr>
                <w:b/>
                <w:color w:val="FFFFFF"/>
                <w:sz w:val="15"/>
              </w:rPr>
              <w:t>Page</w:t>
            </w:r>
          </w:p>
        </w:tc>
      </w:tr>
      <w:tr>
        <w:trPr>
          <w:cantSplit/>
        </w:trPr>
        <w:tc>
          <w:tcPr>
            <w:tcW w:type="dxa" w:w="2117"/>
            <w:vAlign w:val="center"/>
            <w:shd w:fill="F4F5FA"/>
          </w:tcPr>
          <w:p>
            <w:pPr>
              <w:spacing w:after="40" w:before="40"/>
            </w:pPr>
            <w:r>
              <w:rPr>
                <w:color w:val="172033"/>
                <w:sz w:val="15"/>
              </w:rPr>
              <w:t>Phantom phone vibration</w:t>
            </w:r>
          </w:p>
        </w:tc>
        <w:tc>
          <w:tcPr>
            <w:tcW w:type="dxa" w:w="2261"/>
            <w:vAlign w:val="center"/>
            <w:shd w:fill="F4F5FA"/>
          </w:tcPr>
          <w:p>
            <w:pPr>
              <w:spacing w:after="40" w:before="40"/>
            </w:pPr>
            <w:r>
              <w:rPr>
                <w:color w:val="172033"/>
                <w:sz w:val="15"/>
              </w:rPr>
              <w:t>Pocket buzz → no notification</w:t>
            </w:r>
          </w:p>
        </w:tc>
        <w:tc>
          <w:tcPr>
            <w:tcW w:type="dxa" w:w="4248"/>
            <w:vAlign w:val="center"/>
            <w:shd w:fill="F4F5FA"/>
          </w:tcPr>
          <w:p>
            <w:pPr>
              <w:spacing w:after="40" w:before="40"/>
            </w:pPr>
            <w:r>
              <w:rPr>
                <w:color w:val="172033"/>
                <w:sz w:val="15"/>
              </w:rPr>
              <w:t>Prediction-machine error; invented signal</w:t>
            </w:r>
          </w:p>
        </w:tc>
        <w:tc>
          <w:tcPr>
            <w:tcW w:type="dxa" w:w="763"/>
            <w:vAlign w:val="center"/>
            <w:shd w:fill="F4F5FA"/>
          </w:tcPr>
          <w:p>
            <w:pPr>
              <w:spacing w:after="40" w:before="40"/>
            </w:pPr>
            <w:r>
              <w:rPr>
                <w:color w:val="172033"/>
                <w:sz w:val="15"/>
              </w:rPr>
              <w:t>A p.1</w:t>
            </w:r>
          </w:p>
        </w:tc>
      </w:tr>
      <w:tr>
        <w:trPr>
          <w:cantSplit/>
        </w:trPr>
        <w:tc>
          <w:tcPr>
            <w:tcW w:type="dxa" w:w="2117"/>
            <w:vAlign w:val="center"/>
          </w:tcPr>
          <w:p>
            <w:pPr>
              <w:spacing w:after="40" w:before="40"/>
            </w:pPr>
            <w:r>
              <w:rPr>
                <w:color w:val="172033"/>
                <w:sz w:val="15"/>
              </w:rPr>
              <w:t>Pins and needles</w:t>
            </w:r>
          </w:p>
        </w:tc>
        <w:tc>
          <w:tcPr>
            <w:tcW w:type="dxa" w:w="2261"/>
            <w:vAlign w:val="center"/>
          </w:tcPr>
          <w:p>
            <w:pPr>
              <w:spacing w:after="40" w:before="40"/>
            </w:pPr>
            <w:r>
              <w:rPr>
                <w:color w:val="172033"/>
                <w:sz w:val="15"/>
              </w:rPr>
              <w:t>Foot “asleep” → painful static</w:t>
            </w:r>
          </w:p>
        </w:tc>
        <w:tc>
          <w:tcPr>
            <w:tcW w:type="dxa" w:w="4248"/>
            <w:vAlign w:val="center"/>
          </w:tcPr>
          <w:p>
            <w:pPr>
              <w:spacing w:after="40" w:before="40"/>
            </w:pPr>
            <w:r>
              <w:rPr>
                <w:color w:val="172033"/>
                <w:sz w:val="15"/>
              </w:rPr>
              <w:t>Nerve compression → recovery; reboot metaphor</w:t>
            </w:r>
          </w:p>
        </w:tc>
        <w:tc>
          <w:tcPr>
            <w:tcW w:type="dxa" w:w="763"/>
            <w:vAlign w:val="center"/>
          </w:tcPr>
          <w:p>
            <w:pPr>
              <w:spacing w:after="40" w:before="40"/>
            </w:pPr>
            <w:r>
              <w:rPr>
                <w:color w:val="172033"/>
                <w:sz w:val="15"/>
              </w:rPr>
              <w:t>A p.1</w:t>
            </w:r>
          </w:p>
        </w:tc>
      </w:tr>
      <w:tr>
        <w:trPr>
          <w:cantSplit/>
        </w:trPr>
        <w:tc>
          <w:tcPr>
            <w:tcW w:type="dxa" w:w="2117"/>
            <w:vAlign w:val="center"/>
            <w:shd w:fill="F4F5FA"/>
          </w:tcPr>
          <w:p>
            <w:pPr>
              <w:spacing w:after="40" w:before="40"/>
            </w:pPr>
            <w:r>
              <w:rPr>
                <w:color w:val="172033"/>
                <w:sz w:val="15"/>
              </w:rPr>
              <w:t>Eye twitching</w:t>
            </w:r>
          </w:p>
        </w:tc>
        <w:tc>
          <w:tcPr>
            <w:tcW w:type="dxa" w:w="2261"/>
            <w:vAlign w:val="center"/>
            <w:shd w:fill="F4F5FA"/>
          </w:tcPr>
          <w:p>
            <w:pPr>
              <w:spacing w:after="40" w:before="40"/>
            </w:pPr>
            <w:r>
              <w:rPr>
                <w:color w:val="172033"/>
                <w:sz w:val="15"/>
              </w:rPr>
              <w:t>Private flutter; fear others see it</w:t>
            </w:r>
          </w:p>
        </w:tc>
        <w:tc>
          <w:tcPr>
            <w:tcW w:type="dxa" w:w="4248"/>
            <w:vAlign w:val="center"/>
            <w:shd w:fill="F4F5FA"/>
          </w:tcPr>
          <w:p>
            <w:pPr>
              <w:spacing w:after="40" w:before="40"/>
            </w:pPr>
            <w:r>
              <w:rPr>
                <w:color w:val="172033"/>
                <w:sz w:val="15"/>
              </w:rPr>
              <w:t>Visible stress “report card”; self-consciousness</w:t>
            </w:r>
          </w:p>
        </w:tc>
        <w:tc>
          <w:tcPr>
            <w:tcW w:type="dxa" w:w="763"/>
            <w:vAlign w:val="center"/>
            <w:shd w:fill="F4F5FA"/>
          </w:tcPr>
          <w:p>
            <w:pPr>
              <w:spacing w:after="40" w:before="40"/>
            </w:pPr>
            <w:r>
              <w:rPr>
                <w:color w:val="172033"/>
                <w:sz w:val="15"/>
              </w:rPr>
              <w:t>A pp.1–2</w:t>
            </w:r>
          </w:p>
        </w:tc>
      </w:tr>
      <w:tr>
        <w:trPr>
          <w:cantSplit/>
        </w:trPr>
        <w:tc>
          <w:tcPr>
            <w:tcW w:type="dxa" w:w="2117"/>
            <w:vAlign w:val="center"/>
          </w:tcPr>
          <w:p>
            <w:pPr>
              <w:spacing w:after="40" w:before="40"/>
            </w:pPr>
            <w:r>
              <w:rPr>
                <w:color w:val="172033"/>
                <w:sz w:val="15"/>
              </w:rPr>
              <w:t>Brain zaps</w:t>
            </w:r>
          </w:p>
        </w:tc>
        <w:tc>
          <w:tcPr>
            <w:tcW w:type="dxa" w:w="2261"/>
            <w:vAlign w:val="center"/>
          </w:tcPr>
          <w:p>
            <w:pPr>
              <w:spacing w:after="40" w:before="40"/>
            </w:pPr>
            <w:r>
              <w:rPr>
                <w:color w:val="172033"/>
                <w:sz w:val="15"/>
              </w:rPr>
              <w:t>Abrupt electrical jolt</w:t>
            </w:r>
          </w:p>
        </w:tc>
        <w:tc>
          <w:tcPr>
            <w:tcW w:type="dxa" w:w="4248"/>
            <w:vAlign w:val="center"/>
          </w:tcPr>
          <w:p>
            <w:pPr>
              <w:spacing w:after="40" w:before="40"/>
            </w:pPr>
            <w:r>
              <w:rPr>
                <w:color w:val="172033"/>
                <w:sz w:val="15"/>
              </w:rPr>
              <w:t>Medication-change context; honest uncertainty</w:t>
            </w:r>
          </w:p>
        </w:tc>
        <w:tc>
          <w:tcPr>
            <w:tcW w:type="dxa" w:w="763"/>
            <w:vAlign w:val="center"/>
          </w:tcPr>
          <w:p>
            <w:pPr>
              <w:spacing w:after="40" w:before="40"/>
            </w:pPr>
            <w:r>
              <w:rPr>
                <w:color w:val="172033"/>
                <w:sz w:val="15"/>
              </w:rPr>
              <w:t>A p.2</w:t>
            </w:r>
          </w:p>
        </w:tc>
      </w:tr>
      <w:tr>
        <w:trPr>
          <w:cantSplit/>
        </w:trPr>
        <w:tc>
          <w:tcPr>
            <w:tcW w:type="dxa" w:w="2117"/>
            <w:vAlign w:val="center"/>
            <w:shd w:fill="F4F5FA"/>
          </w:tcPr>
          <w:p>
            <w:pPr>
              <w:spacing w:after="40" w:before="40"/>
            </w:pPr>
            <w:r>
              <w:rPr>
                <w:color w:val="172033"/>
                <w:sz w:val="15"/>
              </w:rPr>
              <w:t>Tinnitus</w:t>
            </w:r>
          </w:p>
        </w:tc>
        <w:tc>
          <w:tcPr>
            <w:tcW w:type="dxa" w:w="2261"/>
            <w:vAlign w:val="center"/>
            <w:shd w:fill="F4F5FA"/>
          </w:tcPr>
          <w:p>
            <w:pPr>
              <w:spacing w:after="40" w:before="40"/>
            </w:pPr>
            <w:r>
              <w:rPr>
                <w:color w:val="172033"/>
                <w:sz w:val="15"/>
              </w:rPr>
              <w:t>Silent room → sound with no source</w:t>
            </w:r>
          </w:p>
        </w:tc>
        <w:tc>
          <w:tcPr>
            <w:tcW w:type="dxa" w:w="4248"/>
            <w:vAlign w:val="center"/>
            <w:shd w:fill="F4F5FA"/>
          </w:tcPr>
          <w:p>
            <w:pPr>
              <w:spacing w:after="40" w:before="40"/>
            </w:pPr>
            <w:r>
              <w:rPr>
                <w:color w:val="172033"/>
                <w:sz w:val="15"/>
              </w:rPr>
              <w:t>Brain fills missing frequency; interior/exterior contrast</w:t>
            </w:r>
          </w:p>
        </w:tc>
        <w:tc>
          <w:tcPr>
            <w:tcW w:type="dxa" w:w="763"/>
            <w:vAlign w:val="center"/>
            <w:shd w:fill="F4F5FA"/>
          </w:tcPr>
          <w:p>
            <w:pPr>
              <w:spacing w:after="40" w:before="40"/>
            </w:pPr>
            <w:r>
              <w:rPr>
                <w:color w:val="172033"/>
                <w:sz w:val="15"/>
              </w:rPr>
              <w:t>A pp.2–3</w:t>
            </w:r>
          </w:p>
        </w:tc>
      </w:tr>
      <w:tr>
        <w:trPr>
          <w:cantSplit/>
        </w:trPr>
        <w:tc>
          <w:tcPr>
            <w:tcW w:type="dxa" w:w="2117"/>
            <w:vAlign w:val="center"/>
          </w:tcPr>
          <w:p>
            <w:pPr>
              <w:spacing w:after="40" w:before="40"/>
            </w:pPr>
            <w:r>
              <w:rPr>
                <w:color w:val="172033"/>
                <w:sz w:val="15"/>
              </w:rPr>
              <w:t>Skin crawling</w:t>
            </w:r>
          </w:p>
        </w:tc>
        <w:tc>
          <w:tcPr>
            <w:tcW w:type="dxa" w:w="2261"/>
            <w:vAlign w:val="center"/>
          </w:tcPr>
          <w:p>
            <w:pPr>
              <w:spacing w:after="40" w:before="40"/>
            </w:pPr>
            <w:r>
              <w:rPr>
                <w:color w:val="172033"/>
                <w:sz w:val="15"/>
              </w:rPr>
              <w:t>Swat at absent insect</w:t>
            </w:r>
          </w:p>
        </w:tc>
        <w:tc>
          <w:tcPr>
            <w:tcW w:type="dxa" w:w="4248"/>
            <w:vAlign w:val="center"/>
          </w:tcPr>
          <w:p>
            <w:pPr>
              <w:spacing w:after="40" w:before="40"/>
            </w:pPr>
            <w:r>
              <w:rPr>
                <w:color w:val="172033"/>
                <w:sz w:val="15"/>
              </w:rPr>
              <w:t>False tactile signal; imagined contact</w:t>
            </w:r>
          </w:p>
        </w:tc>
        <w:tc>
          <w:tcPr>
            <w:tcW w:type="dxa" w:w="763"/>
            <w:vAlign w:val="center"/>
          </w:tcPr>
          <w:p>
            <w:pPr>
              <w:spacing w:after="40" w:before="40"/>
            </w:pPr>
            <w:r>
              <w:rPr>
                <w:color w:val="172033"/>
                <w:sz w:val="15"/>
              </w:rPr>
              <w:t>A p.3</w:t>
            </w:r>
          </w:p>
        </w:tc>
      </w:tr>
      <w:tr>
        <w:trPr>
          <w:cantSplit/>
        </w:trPr>
        <w:tc>
          <w:tcPr>
            <w:tcW w:type="dxa" w:w="2117"/>
            <w:vAlign w:val="center"/>
            <w:shd w:fill="F4F5FA"/>
          </w:tcPr>
          <w:p>
            <w:pPr>
              <w:spacing w:after="40" w:before="40"/>
            </w:pPr>
            <w:r>
              <w:rPr>
                <w:color w:val="172033"/>
                <w:sz w:val="15"/>
              </w:rPr>
              <w:t>Goosebumps</w:t>
            </w:r>
          </w:p>
        </w:tc>
        <w:tc>
          <w:tcPr>
            <w:tcW w:type="dxa" w:w="2261"/>
            <w:vAlign w:val="center"/>
            <w:shd w:fill="F4F5FA"/>
          </w:tcPr>
          <w:p>
            <w:pPr>
              <w:spacing w:after="40" w:before="40"/>
            </w:pPr>
            <w:r>
              <w:rPr>
                <w:color w:val="172033"/>
                <w:sz w:val="15"/>
              </w:rPr>
              <w:t>Music triggers bodily chills</w:t>
            </w:r>
          </w:p>
        </w:tc>
        <w:tc>
          <w:tcPr>
            <w:tcW w:type="dxa" w:w="4248"/>
            <w:vAlign w:val="center"/>
            <w:shd w:fill="F4F5FA"/>
          </w:tcPr>
          <w:p>
            <w:pPr>
              <w:spacing w:after="40" w:before="40"/>
            </w:pPr>
            <w:r>
              <w:rPr>
                <w:color w:val="172033"/>
                <w:sz w:val="15"/>
              </w:rPr>
              <w:t>Ancient fur defense → modern emotional trigger</w:t>
            </w:r>
          </w:p>
        </w:tc>
        <w:tc>
          <w:tcPr>
            <w:tcW w:type="dxa" w:w="763"/>
            <w:vAlign w:val="center"/>
            <w:shd w:fill="F4F5FA"/>
          </w:tcPr>
          <w:p>
            <w:pPr>
              <w:spacing w:after="40" w:before="40"/>
            </w:pPr>
            <w:r>
              <w:rPr>
                <w:color w:val="172033"/>
                <w:sz w:val="15"/>
              </w:rPr>
              <w:t>A pp.3–4</w:t>
            </w:r>
          </w:p>
        </w:tc>
      </w:tr>
      <w:tr>
        <w:trPr>
          <w:cantSplit/>
        </w:trPr>
        <w:tc>
          <w:tcPr>
            <w:tcW w:type="dxa" w:w="2117"/>
            <w:vAlign w:val="center"/>
          </w:tcPr>
          <w:p>
            <w:pPr>
              <w:spacing w:after="40" w:before="40"/>
            </w:pPr>
            <w:r>
              <w:rPr>
                <w:color w:val="172033"/>
                <w:sz w:val="15"/>
              </w:rPr>
              <w:t>Muscle twitching</w:t>
            </w:r>
          </w:p>
        </w:tc>
        <w:tc>
          <w:tcPr>
            <w:tcW w:type="dxa" w:w="2261"/>
            <w:vAlign w:val="center"/>
          </w:tcPr>
          <w:p>
            <w:pPr>
              <w:spacing w:after="40" w:before="40"/>
            </w:pPr>
            <w:r>
              <w:rPr>
                <w:color w:val="172033"/>
                <w:sz w:val="15"/>
              </w:rPr>
              <w:t>Sudden twitch → anxious internet search</w:t>
            </w:r>
          </w:p>
        </w:tc>
        <w:tc>
          <w:tcPr>
            <w:tcW w:type="dxa" w:w="4248"/>
            <w:vAlign w:val="center"/>
          </w:tcPr>
          <w:p>
            <w:pPr>
              <w:spacing w:after="40" w:before="40"/>
            </w:pPr>
            <w:r>
              <w:rPr>
                <w:color w:val="172033"/>
                <w:sz w:val="15"/>
              </w:rPr>
              <w:t>Self-reinforcing fear loop</w:t>
            </w:r>
          </w:p>
        </w:tc>
        <w:tc>
          <w:tcPr>
            <w:tcW w:type="dxa" w:w="763"/>
            <w:vAlign w:val="center"/>
          </w:tcPr>
          <w:p>
            <w:pPr>
              <w:spacing w:after="40" w:before="40"/>
            </w:pPr>
            <w:r>
              <w:rPr>
                <w:color w:val="172033"/>
                <w:sz w:val="15"/>
              </w:rPr>
              <w:t>A p.4</w:t>
            </w:r>
          </w:p>
        </w:tc>
      </w:tr>
      <w:tr>
        <w:trPr>
          <w:cantSplit/>
        </w:trPr>
        <w:tc>
          <w:tcPr>
            <w:tcW w:type="dxa" w:w="2117"/>
            <w:vAlign w:val="center"/>
            <w:shd w:fill="F4F5FA"/>
          </w:tcPr>
          <w:p>
            <w:pPr>
              <w:spacing w:after="40" w:before="40"/>
            </w:pPr>
            <w:r>
              <w:rPr>
                <w:color w:val="172033"/>
                <w:sz w:val="15"/>
              </w:rPr>
              <w:t>Standing dizziness</w:t>
            </w:r>
          </w:p>
        </w:tc>
        <w:tc>
          <w:tcPr>
            <w:tcW w:type="dxa" w:w="2261"/>
            <w:vAlign w:val="center"/>
            <w:shd w:fill="F4F5FA"/>
          </w:tcPr>
          <w:p>
            <w:pPr>
              <w:spacing w:after="40" w:before="40"/>
            </w:pPr>
            <w:r>
              <w:rPr>
                <w:color w:val="172033"/>
                <w:sz w:val="15"/>
              </w:rPr>
              <w:t>Get up → world tilts</w:t>
            </w:r>
          </w:p>
        </w:tc>
        <w:tc>
          <w:tcPr>
            <w:tcW w:type="dxa" w:w="4248"/>
            <w:vAlign w:val="center"/>
            <w:shd w:fill="F4F5FA"/>
          </w:tcPr>
          <w:p>
            <w:pPr>
              <w:spacing w:after="40" w:before="40"/>
            </w:pPr>
            <w:r>
              <w:rPr>
                <w:color w:val="172033"/>
                <w:sz w:val="15"/>
              </w:rPr>
              <w:t>Gravity/blood flow and momentary recovery</w:t>
            </w:r>
          </w:p>
        </w:tc>
        <w:tc>
          <w:tcPr>
            <w:tcW w:type="dxa" w:w="763"/>
            <w:vAlign w:val="center"/>
            <w:shd w:fill="F4F5FA"/>
          </w:tcPr>
          <w:p>
            <w:pPr>
              <w:spacing w:after="40" w:before="40"/>
            </w:pPr>
            <w:r>
              <w:rPr>
                <w:color w:val="172033"/>
                <w:sz w:val="15"/>
              </w:rPr>
              <w:t>A pp.4–5</w:t>
            </w:r>
          </w:p>
        </w:tc>
      </w:tr>
      <w:tr>
        <w:trPr>
          <w:cantSplit/>
        </w:trPr>
        <w:tc>
          <w:tcPr>
            <w:tcW w:type="dxa" w:w="2117"/>
            <w:vAlign w:val="center"/>
          </w:tcPr>
          <w:p>
            <w:pPr>
              <w:spacing w:after="40" w:before="40"/>
            </w:pPr>
            <w:r>
              <w:rPr>
                <w:color w:val="172033"/>
                <w:sz w:val="15"/>
              </w:rPr>
              <w:t>Stomach drop</w:t>
            </w:r>
          </w:p>
        </w:tc>
        <w:tc>
          <w:tcPr>
            <w:tcW w:type="dxa" w:w="2261"/>
            <w:vAlign w:val="center"/>
          </w:tcPr>
          <w:p>
            <w:pPr>
              <w:spacing w:after="40" w:before="40"/>
            </w:pPr>
            <w:r>
              <w:rPr>
                <w:color w:val="172033"/>
                <w:sz w:val="15"/>
              </w:rPr>
              <w:t>Car crest or “we need to talk” text</w:t>
            </w:r>
          </w:p>
        </w:tc>
        <w:tc>
          <w:tcPr>
            <w:tcW w:type="dxa" w:w="4248"/>
            <w:vAlign w:val="center"/>
          </w:tcPr>
          <w:p>
            <w:pPr>
              <w:spacing w:after="40" w:before="40"/>
            </w:pPr>
            <w:r>
              <w:rPr>
                <w:color w:val="172033"/>
                <w:sz w:val="15"/>
              </w:rPr>
              <w:t>Threat reaction and gut response</w:t>
            </w:r>
          </w:p>
        </w:tc>
        <w:tc>
          <w:tcPr>
            <w:tcW w:type="dxa" w:w="763"/>
            <w:vAlign w:val="center"/>
          </w:tcPr>
          <w:p>
            <w:pPr>
              <w:spacing w:after="40" w:before="40"/>
            </w:pPr>
            <w:r>
              <w:rPr>
                <w:color w:val="172033"/>
                <w:sz w:val="15"/>
              </w:rPr>
              <w:t>A p.5</w:t>
            </w:r>
          </w:p>
        </w:tc>
      </w:tr>
      <w:tr>
        <w:trPr>
          <w:cantSplit/>
        </w:trPr>
        <w:tc>
          <w:tcPr>
            <w:tcW w:type="dxa" w:w="2117"/>
            <w:vAlign w:val="center"/>
            <w:shd w:fill="F4F5FA"/>
          </w:tcPr>
          <w:p>
            <w:pPr>
              <w:spacing w:after="40" w:before="40"/>
            </w:pPr>
            <w:r>
              <w:rPr>
                <w:color w:val="172033"/>
                <w:sz w:val="15"/>
              </w:rPr>
              <w:t>Lump in throat</w:t>
            </w:r>
          </w:p>
        </w:tc>
        <w:tc>
          <w:tcPr>
            <w:tcW w:type="dxa" w:w="2261"/>
            <w:vAlign w:val="center"/>
            <w:shd w:fill="F4F5FA"/>
          </w:tcPr>
          <w:p>
            <w:pPr>
              <w:spacing w:after="40" w:before="40"/>
            </w:pPr>
            <w:r>
              <w:rPr>
                <w:color w:val="172033"/>
                <w:sz w:val="15"/>
              </w:rPr>
              <w:t>Trying not to cry</w:t>
            </w:r>
          </w:p>
        </w:tc>
        <w:tc>
          <w:tcPr>
            <w:tcW w:type="dxa" w:w="4248"/>
            <w:vAlign w:val="center"/>
            <w:shd w:fill="F4F5FA"/>
          </w:tcPr>
          <w:p>
            <w:pPr>
              <w:spacing w:after="40" w:before="40"/>
            </w:pPr>
            <w:r>
              <w:rPr>
                <w:color w:val="172033"/>
                <w:sz w:val="15"/>
              </w:rPr>
              <w:t>Emotional suppression → physical tension</w:t>
            </w:r>
          </w:p>
        </w:tc>
        <w:tc>
          <w:tcPr>
            <w:tcW w:type="dxa" w:w="763"/>
            <w:vAlign w:val="center"/>
            <w:shd w:fill="F4F5FA"/>
          </w:tcPr>
          <w:p>
            <w:pPr>
              <w:spacing w:after="40" w:before="40"/>
            </w:pPr>
            <w:r>
              <w:rPr>
                <w:color w:val="172033"/>
                <w:sz w:val="15"/>
              </w:rPr>
              <w:t>A p.5</w:t>
            </w:r>
          </w:p>
        </w:tc>
      </w:tr>
      <w:tr>
        <w:trPr>
          <w:cantSplit/>
        </w:trPr>
        <w:tc>
          <w:tcPr>
            <w:tcW w:type="dxa" w:w="2117"/>
            <w:vAlign w:val="center"/>
          </w:tcPr>
          <w:p>
            <w:pPr>
              <w:spacing w:after="40" w:before="40"/>
            </w:pPr>
            <w:r>
              <w:rPr>
                <w:color w:val="172033"/>
                <w:sz w:val="15"/>
              </w:rPr>
              <w:t>Chest / rib stitch</w:t>
            </w:r>
          </w:p>
        </w:tc>
        <w:tc>
          <w:tcPr>
            <w:tcW w:type="dxa" w:w="2261"/>
            <w:vAlign w:val="center"/>
          </w:tcPr>
          <w:p>
            <w:pPr>
              <w:spacing w:after="40" w:before="40"/>
            </w:pPr>
            <w:r>
              <w:rPr>
                <w:color w:val="172033"/>
                <w:sz w:val="15"/>
              </w:rPr>
              <w:t>Sharp pain; interrupted breath</w:t>
            </w:r>
          </w:p>
        </w:tc>
        <w:tc>
          <w:tcPr>
            <w:tcW w:type="dxa" w:w="4248"/>
            <w:vAlign w:val="center"/>
          </w:tcPr>
          <w:p>
            <w:pPr>
              <w:spacing w:after="40" w:before="40"/>
            </w:pPr>
            <w:r>
              <w:rPr>
                <w:color w:val="172033"/>
                <w:sz w:val="15"/>
              </w:rPr>
              <w:t>Benign possibility plus serious medical boundary</w:t>
            </w:r>
          </w:p>
        </w:tc>
        <w:tc>
          <w:tcPr>
            <w:tcW w:type="dxa" w:w="763"/>
            <w:vAlign w:val="center"/>
          </w:tcPr>
          <w:p>
            <w:pPr>
              <w:spacing w:after="40" w:before="40"/>
            </w:pPr>
            <w:r>
              <w:rPr>
                <w:color w:val="172033"/>
                <w:sz w:val="15"/>
              </w:rPr>
              <w:t>A pp.5–6</w:t>
            </w:r>
          </w:p>
        </w:tc>
      </w:tr>
      <w:tr>
        <w:trPr>
          <w:cantSplit/>
        </w:trPr>
        <w:tc>
          <w:tcPr>
            <w:tcW w:type="dxa" w:w="2117"/>
            <w:vAlign w:val="center"/>
            <w:shd w:fill="F4F5FA"/>
          </w:tcPr>
          <w:p>
            <w:pPr>
              <w:spacing w:after="40" w:before="40"/>
            </w:pPr>
            <w:r>
              <w:rPr>
                <w:color w:val="172033"/>
                <w:sz w:val="15"/>
              </w:rPr>
              <w:t>Face flushing</w:t>
            </w:r>
          </w:p>
        </w:tc>
        <w:tc>
          <w:tcPr>
            <w:tcW w:type="dxa" w:w="2261"/>
            <w:vAlign w:val="center"/>
            <w:shd w:fill="F4F5FA"/>
          </w:tcPr>
          <w:p>
            <w:pPr>
              <w:spacing w:after="40" w:before="40"/>
            </w:pPr>
            <w:r>
              <w:rPr>
                <w:color w:val="172033"/>
                <w:sz w:val="15"/>
              </w:rPr>
              <w:t>Cheeks heat up unexpectedly</w:t>
            </w:r>
          </w:p>
        </w:tc>
        <w:tc>
          <w:tcPr>
            <w:tcW w:type="dxa" w:w="4248"/>
            <w:vAlign w:val="center"/>
            <w:shd w:fill="F4F5FA"/>
          </w:tcPr>
          <w:p>
            <w:pPr>
              <w:spacing w:after="40" w:before="40"/>
            </w:pPr>
            <w:r>
              <w:rPr>
                <w:color w:val="172033"/>
                <w:sz w:val="15"/>
              </w:rPr>
              <w:t>Blood flow; embarrassment feedback loop</w:t>
            </w:r>
          </w:p>
        </w:tc>
        <w:tc>
          <w:tcPr>
            <w:tcW w:type="dxa" w:w="763"/>
            <w:vAlign w:val="center"/>
            <w:shd w:fill="F4F5FA"/>
          </w:tcPr>
          <w:p>
            <w:pPr>
              <w:spacing w:after="40" w:before="40"/>
            </w:pPr>
            <w:r>
              <w:rPr>
                <w:color w:val="172033"/>
                <w:sz w:val="15"/>
              </w:rPr>
              <w:t>A p.6</w:t>
            </w:r>
          </w:p>
        </w:tc>
      </w:tr>
      <w:tr>
        <w:trPr>
          <w:cantSplit/>
        </w:trPr>
        <w:tc>
          <w:tcPr>
            <w:tcW w:type="dxa" w:w="2117"/>
            <w:vAlign w:val="center"/>
          </w:tcPr>
          <w:p>
            <w:pPr>
              <w:spacing w:after="40" w:before="40"/>
            </w:pPr>
            <w:r>
              <w:rPr>
                <w:color w:val="172033"/>
                <w:sz w:val="15"/>
              </w:rPr>
              <w:t>Heart palpitations</w:t>
            </w:r>
          </w:p>
        </w:tc>
        <w:tc>
          <w:tcPr>
            <w:tcW w:type="dxa" w:w="2261"/>
            <w:vAlign w:val="center"/>
          </w:tcPr>
          <w:p>
            <w:pPr>
              <w:spacing w:after="40" w:before="40"/>
            </w:pPr>
            <w:r>
              <w:rPr>
                <w:color w:val="172033"/>
                <w:sz w:val="15"/>
              </w:rPr>
              <w:t>Sudden skipped/thudding beat</w:t>
            </w:r>
          </w:p>
        </w:tc>
        <w:tc>
          <w:tcPr>
            <w:tcW w:type="dxa" w:w="4248"/>
            <w:vAlign w:val="center"/>
          </w:tcPr>
          <w:p>
            <w:pPr>
              <w:spacing w:after="40" w:before="40"/>
            </w:pPr>
            <w:r>
              <w:rPr>
                <w:color w:val="172033"/>
                <w:sz w:val="15"/>
              </w:rPr>
              <w:t>Fear → adrenaline → further awareness; caution</w:t>
            </w:r>
          </w:p>
        </w:tc>
        <w:tc>
          <w:tcPr>
            <w:tcW w:type="dxa" w:w="763"/>
            <w:vAlign w:val="center"/>
          </w:tcPr>
          <w:p>
            <w:pPr>
              <w:spacing w:after="40" w:before="40"/>
            </w:pPr>
            <w:r>
              <w:rPr>
                <w:color w:val="172033"/>
                <w:sz w:val="15"/>
              </w:rPr>
              <w:t>A pp.6–7</w:t>
            </w:r>
          </w:p>
        </w:tc>
      </w:tr>
      <w:tr>
        <w:trPr>
          <w:cantSplit/>
        </w:trPr>
        <w:tc>
          <w:tcPr>
            <w:tcW w:type="dxa" w:w="2117"/>
            <w:vAlign w:val="center"/>
            <w:shd w:fill="F4F5FA"/>
          </w:tcPr>
          <w:p>
            <w:pPr>
              <w:spacing w:after="40" w:before="40"/>
            </w:pPr>
            <w:r>
              <w:rPr>
                <w:color w:val="172033"/>
                <w:sz w:val="15"/>
              </w:rPr>
              <w:t>Internal vibration</w:t>
            </w:r>
          </w:p>
        </w:tc>
        <w:tc>
          <w:tcPr>
            <w:tcW w:type="dxa" w:w="2261"/>
            <w:vAlign w:val="center"/>
            <w:shd w:fill="F4F5FA"/>
          </w:tcPr>
          <w:p>
            <w:pPr>
              <w:spacing w:after="40" w:before="40"/>
            </w:pPr>
            <w:r>
              <w:rPr>
                <w:color w:val="172033"/>
                <w:sz w:val="15"/>
              </w:rPr>
              <w:t>Buzzing with no visible tremor</w:t>
            </w:r>
          </w:p>
        </w:tc>
        <w:tc>
          <w:tcPr>
            <w:tcW w:type="dxa" w:w="4248"/>
            <w:vAlign w:val="center"/>
            <w:shd w:fill="F4F5FA"/>
          </w:tcPr>
          <w:p>
            <w:pPr>
              <w:spacing w:after="40" w:before="40"/>
            </w:pPr>
            <w:r>
              <w:rPr>
                <w:color w:val="172033"/>
                <w:sz w:val="15"/>
              </w:rPr>
              <w:t>Invisible sensation; stress amplification; caveat</w:t>
            </w:r>
          </w:p>
        </w:tc>
        <w:tc>
          <w:tcPr>
            <w:tcW w:type="dxa" w:w="763"/>
            <w:vAlign w:val="center"/>
            <w:shd w:fill="F4F5FA"/>
          </w:tcPr>
          <w:p>
            <w:pPr>
              <w:spacing w:after="40" w:before="40"/>
            </w:pPr>
            <w:r>
              <w:rPr>
                <w:color w:val="172033"/>
                <w:sz w:val="15"/>
              </w:rPr>
              <w:t>A p.7</w:t>
            </w:r>
          </w:p>
        </w:tc>
      </w:tr>
    </w:tbl>
    <w:p>
      <w:pPr>
        <w:spacing w:after="0"/>
      </w:pPr>
    </w:p>
    <w:p>
      <w:pPr>
        <w:pStyle w:val="Heading2"/>
      </w:pPr>
      <w:r>
        <w:t>Script B / “Keep You Alive” — 10 entries</w:t>
      </w:r>
    </w:p>
    <w:tbl>
      <w:tblPr>
        <w:tblStyle w:val="TableGrid"/>
        <w:tblW w:type="auto" w:w="0"/>
        <w:jc w:val="center"/>
        <w:tblLayout w:type="fixed"/>
        <w:tblLook w:firstColumn="1" w:firstRow="1" w:lastColumn="0" w:lastRow="0" w:noHBand="0" w:noVBand="1" w:val="04A0"/>
      </w:tblPr>
      <w:tblGrid>
        <w:gridCol w:w="2117"/>
        <w:gridCol w:w="2261"/>
        <w:gridCol w:w="4248"/>
        <w:gridCol w:w="763"/>
      </w:tblGrid>
      <w:tr>
        <w:trPr>
          <w:tblHeader/>
        </w:trPr>
        <w:tc>
          <w:tcPr>
            <w:tcW w:type="dxa" w:w="2361"/>
            <w:shd w:fill="262A53"/>
          </w:tcPr>
          <w:p>
            <w:pPr>
              <w:spacing w:after="40"/>
            </w:pPr>
            <w:r>
              <w:rPr>
                <w:b/>
                <w:color w:val="FFFFFF"/>
                <w:sz w:val="15"/>
              </w:rPr>
              <w:t>Topic</w:t>
            </w:r>
          </w:p>
        </w:tc>
        <w:tc>
          <w:tcPr>
            <w:tcW w:type="dxa" w:w="2361"/>
            <w:shd w:fill="262A53"/>
          </w:tcPr>
          <w:p>
            <w:pPr>
              <w:spacing w:after="40"/>
            </w:pPr>
            <w:r>
              <w:rPr>
                <w:b/>
                <w:color w:val="FFFFFF"/>
                <w:sz w:val="15"/>
              </w:rPr>
              <w:t>Hook / contradiction</w:t>
            </w:r>
          </w:p>
        </w:tc>
        <w:tc>
          <w:tcPr>
            <w:tcW w:type="dxa" w:w="2361"/>
            <w:shd w:fill="262A53"/>
          </w:tcPr>
          <w:p>
            <w:pPr>
              <w:spacing w:after="40"/>
            </w:pPr>
            <w:r>
              <w:rPr>
                <w:b/>
                <w:color w:val="FFFFFF"/>
                <w:sz w:val="15"/>
              </w:rPr>
              <w:t>Imageable mechanism or turn</w:t>
            </w:r>
          </w:p>
        </w:tc>
        <w:tc>
          <w:tcPr>
            <w:tcW w:type="dxa" w:w="2361"/>
            <w:shd w:fill="262A53"/>
          </w:tcPr>
          <w:p>
            <w:pPr>
              <w:spacing w:after="40"/>
            </w:pPr>
            <w:r>
              <w:rPr>
                <w:b/>
                <w:color w:val="FFFFFF"/>
                <w:sz w:val="15"/>
              </w:rPr>
              <w:t>Page</w:t>
            </w:r>
          </w:p>
        </w:tc>
      </w:tr>
      <w:tr>
        <w:trPr>
          <w:cantSplit/>
        </w:trPr>
        <w:tc>
          <w:tcPr>
            <w:tcW w:type="dxa" w:w="2117"/>
            <w:vAlign w:val="center"/>
            <w:shd w:fill="F4F5FA"/>
          </w:tcPr>
          <w:p>
            <w:pPr>
              <w:spacing w:after="40" w:before="40"/>
            </w:pPr>
            <w:r>
              <w:rPr>
                <w:color w:val="172033"/>
                <w:sz w:val="15"/>
              </w:rPr>
              <w:t>Pain</w:t>
            </w:r>
          </w:p>
        </w:tc>
        <w:tc>
          <w:tcPr>
            <w:tcW w:type="dxa" w:w="2261"/>
            <w:vAlign w:val="center"/>
            <w:shd w:fill="F4F5FA"/>
          </w:tcPr>
          <w:p>
            <w:pPr>
              <w:spacing w:after="40" w:before="40"/>
            </w:pPr>
            <w:r>
              <w:rPr>
                <w:color w:val="172033"/>
                <w:sz w:val="15"/>
              </w:rPr>
              <w:t>Pain as enemy → necessary alarm</w:t>
            </w:r>
          </w:p>
        </w:tc>
        <w:tc>
          <w:tcPr>
            <w:tcW w:type="dxa" w:w="4248"/>
            <w:vAlign w:val="center"/>
            <w:shd w:fill="F4F5FA"/>
          </w:tcPr>
          <w:p>
            <w:pPr>
              <w:spacing w:after="40" w:before="40"/>
            </w:pPr>
            <w:r>
              <w:rPr>
                <w:color w:val="172033"/>
                <w:sz w:val="15"/>
              </w:rPr>
              <w:t>Hot stove; alarm protects against unseen harm</w:t>
            </w:r>
          </w:p>
        </w:tc>
        <w:tc>
          <w:tcPr>
            <w:tcW w:type="dxa" w:w="763"/>
            <w:vAlign w:val="center"/>
            <w:shd w:fill="F4F5FA"/>
          </w:tcPr>
          <w:p>
            <w:pPr>
              <w:spacing w:after="40" w:before="40"/>
            </w:pPr>
            <w:r>
              <w:rPr>
                <w:color w:val="172033"/>
                <w:sz w:val="15"/>
              </w:rPr>
              <w:t>B p.1</w:t>
            </w:r>
          </w:p>
        </w:tc>
      </w:tr>
      <w:tr>
        <w:trPr>
          <w:cantSplit/>
        </w:trPr>
        <w:tc>
          <w:tcPr>
            <w:tcW w:type="dxa" w:w="2117"/>
            <w:vAlign w:val="center"/>
          </w:tcPr>
          <w:p>
            <w:pPr>
              <w:spacing w:after="40" w:before="40"/>
            </w:pPr>
            <w:r>
              <w:rPr>
                <w:color w:val="172033"/>
                <w:sz w:val="15"/>
              </w:rPr>
              <w:t>Fever</w:t>
            </w:r>
          </w:p>
        </w:tc>
        <w:tc>
          <w:tcPr>
            <w:tcW w:type="dxa" w:w="2261"/>
            <w:vAlign w:val="center"/>
          </w:tcPr>
          <w:p>
            <w:pPr>
              <w:spacing w:after="40" w:before="40"/>
            </w:pPr>
            <w:r>
              <w:rPr>
                <w:color w:val="172033"/>
                <w:sz w:val="15"/>
              </w:rPr>
              <w:t>Discomfort → body on offense</w:t>
            </w:r>
          </w:p>
        </w:tc>
        <w:tc>
          <w:tcPr>
            <w:tcW w:type="dxa" w:w="4248"/>
            <w:vAlign w:val="center"/>
          </w:tcPr>
          <w:p>
            <w:pPr>
              <w:spacing w:after="40" w:before="40"/>
            </w:pPr>
            <w:r>
              <w:rPr>
                <w:color w:val="172033"/>
                <w:sz w:val="15"/>
              </w:rPr>
              <w:t>Hostile environment to pathogens; medical limits</w:t>
            </w:r>
          </w:p>
        </w:tc>
        <w:tc>
          <w:tcPr>
            <w:tcW w:type="dxa" w:w="763"/>
            <w:vAlign w:val="center"/>
          </w:tcPr>
          <w:p>
            <w:pPr>
              <w:spacing w:after="40" w:before="40"/>
            </w:pPr>
            <w:r>
              <w:rPr>
                <w:color w:val="172033"/>
                <w:sz w:val="15"/>
              </w:rPr>
              <w:t>B pp.1–2</w:t>
            </w:r>
          </w:p>
        </w:tc>
      </w:tr>
      <w:tr>
        <w:trPr>
          <w:cantSplit/>
        </w:trPr>
        <w:tc>
          <w:tcPr>
            <w:tcW w:type="dxa" w:w="2117"/>
            <w:vAlign w:val="center"/>
            <w:shd w:fill="F4F5FA"/>
          </w:tcPr>
          <w:p>
            <w:pPr>
              <w:spacing w:after="40" w:before="40"/>
            </w:pPr>
            <w:r>
              <w:rPr>
                <w:color w:val="172033"/>
                <w:sz w:val="15"/>
              </w:rPr>
              <w:t>Inflammation</w:t>
            </w:r>
          </w:p>
        </w:tc>
        <w:tc>
          <w:tcPr>
            <w:tcW w:type="dxa" w:w="2261"/>
            <w:vAlign w:val="center"/>
            <w:shd w:fill="F4F5FA"/>
          </w:tcPr>
          <w:p>
            <w:pPr>
              <w:spacing w:after="40" w:before="40"/>
            </w:pPr>
            <w:r>
              <w:rPr>
                <w:color w:val="172033"/>
                <w:sz w:val="15"/>
              </w:rPr>
              <w:t>Swollen ankle; apparent malfunction</w:t>
            </w:r>
          </w:p>
        </w:tc>
        <w:tc>
          <w:tcPr>
            <w:tcW w:type="dxa" w:w="4248"/>
            <w:vAlign w:val="center"/>
            <w:shd w:fill="F4F5FA"/>
          </w:tcPr>
          <w:p>
            <w:pPr>
              <w:spacing w:after="40" w:before="40"/>
            </w:pPr>
            <w:r>
              <w:rPr>
                <w:color w:val="172033"/>
                <w:sz w:val="15"/>
              </w:rPr>
              <w:t>Repair/containment; chronic-response reversal</w:t>
            </w:r>
          </w:p>
        </w:tc>
        <w:tc>
          <w:tcPr>
            <w:tcW w:type="dxa" w:w="763"/>
            <w:vAlign w:val="center"/>
            <w:shd w:fill="F4F5FA"/>
          </w:tcPr>
          <w:p>
            <w:pPr>
              <w:spacing w:after="40" w:before="40"/>
            </w:pPr>
            <w:r>
              <w:rPr>
                <w:color w:val="172033"/>
                <w:sz w:val="15"/>
              </w:rPr>
              <w:t>B p.2</w:t>
            </w:r>
          </w:p>
        </w:tc>
      </w:tr>
      <w:tr>
        <w:trPr>
          <w:cantSplit/>
        </w:trPr>
        <w:tc>
          <w:tcPr>
            <w:tcW w:type="dxa" w:w="2117"/>
            <w:vAlign w:val="center"/>
          </w:tcPr>
          <w:p>
            <w:pPr>
              <w:spacing w:after="40" w:before="40"/>
            </w:pPr>
            <w:r>
              <w:rPr>
                <w:color w:val="172033"/>
                <w:sz w:val="15"/>
              </w:rPr>
              <w:t>Vomiting</w:t>
            </w:r>
          </w:p>
        </w:tc>
        <w:tc>
          <w:tcPr>
            <w:tcW w:type="dxa" w:w="2261"/>
            <w:vAlign w:val="center"/>
          </w:tcPr>
          <w:p>
            <w:pPr>
              <w:spacing w:after="40" w:before="40"/>
            </w:pPr>
            <w:r>
              <w:rPr>
                <w:color w:val="172033"/>
                <w:sz w:val="15"/>
              </w:rPr>
              <w:t>Unpleasant ejection</w:t>
            </w:r>
          </w:p>
        </w:tc>
        <w:tc>
          <w:tcPr>
            <w:tcW w:type="dxa" w:w="4248"/>
            <w:vAlign w:val="center"/>
          </w:tcPr>
          <w:p>
            <w:pPr>
              <w:spacing w:after="40" w:before="40"/>
            </w:pPr>
            <w:r>
              <w:rPr>
                <w:color w:val="172033"/>
                <w:sz w:val="15"/>
              </w:rPr>
              <w:t>Emergency threat response; motion-sickness twist</w:t>
            </w:r>
          </w:p>
        </w:tc>
        <w:tc>
          <w:tcPr>
            <w:tcW w:type="dxa" w:w="763"/>
            <w:vAlign w:val="center"/>
          </w:tcPr>
          <w:p>
            <w:pPr>
              <w:spacing w:after="40" w:before="40"/>
            </w:pPr>
            <w:r>
              <w:rPr>
                <w:color w:val="172033"/>
                <w:sz w:val="15"/>
              </w:rPr>
              <w:t>B pp.2–3</w:t>
            </w:r>
          </w:p>
        </w:tc>
      </w:tr>
      <w:tr>
        <w:trPr>
          <w:cantSplit/>
        </w:trPr>
        <w:tc>
          <w:tcPr>
            <w:tcW w:type="dxa" w:w="2117"/>
            <w:vAlign w:val="center"/>
            <w:shd w:fill="F4F5FA"/>
          </w:tcPr>
          <w:p>
            <w:pPr>
              <w:spacing w:after="40" w:before="40"/>
            </w:pPr>
            <w:r>
              <w:rPr>
                <w:color w:val="172033"/>
                <w:sz w:val="15"/>
              </w:rPr>
              <w:t>Cough / sneeze</w:t>
            </w:r>
          </w:p>
        </w:tc>
        <w:tc>
          <w:tcPr>
            <w:tcW w:type="dxa" w:w="2261"/>
            <w:vAlign w:val="center"/>
            <w:shd w:fill="F4F5FA"/>
          </w:tcPr>
          <w:p>
            <w:pPr>
              <w:spacing w:after="40" w:before="40"/>
            </w:pPr>
            <w:r>
              <w:rPr>
                <w:color w:val="172033"/>
                <w:sz w:val="15"/>
              </w:rPr>
              <w:t>Explosive blast</w:t>
            </w:r>
          </w:p>
        </w:tc>
        <w:tc>
          <w:tcPr>
            <w:tcW w:type="dxa" w:w="4248"/>
            <w:vAlign w:val="center"/>
            <w:shd w:fill="F4F5FA"/>
          </w:tcPr>
          <w:p>
            <w:pPr>
              <w:spacing w:after="40" w:before="40"/>
            </w:pPr>
            <w:r>
              <w:rPr>
                <w:color w:val="172033"/>
                <w:sz w:val="15"/>
              </w:rPr>
              <w:t>Airway eviction; defense also spreads illness</w:t>
            </w:r>
          </w:p>
        </w:tc>
        <w:tc>
          <w:tcPr>
            <w:tcW w:type="dxa" w:w="763"/>
            <w:vAlign w:val="center"/>
            <w:shd w:fill="F4F5FA"/>
          </w:tcPr>
          <w:p>
            <w:pPr>
              <w:spacing w:after="40" w:before="40"/>
            </w:pPr>
            <w:r>
              <w:rPr>
                <w:color w:val="172033"/>
                <w:sz w:val="15"/>
              </w:rPr>
              <w:t>B p.3</w:t>
            </w:r>
          </w:p>
        </w:tc>
      </w:tr>
      <w:tr>
        <w:trPr>
          <w:cantSplit/>
        </w:trPr>
        <w:tc>
          <w:tcPr>
            <w:tcW w:type="dxa" w:w="2117"/>
            <w:vAlign w:val="center"/>
          </w:tcPr>
          <w:p>
            <w:pPr>
              <w:spacing w:after="40" w:before="40"/>
            </w:pPr>
            <w:r>
              <w:rPr>
                <w:color w:val="172033"/>
                <w:sz w:val="15"/>
              </w:rPr>
              <w:t>Blood clotting</w:t>
            </w:r>
          </w:p>
        </w:tc>
        <w:tc>
          <w:tcPr>
            <w:tcW w:type="dxa" w:w="2261"/>
            <w:vAlign w:val="center"/>
          </w:tcPr>
          <w:p>
            <w:pPr>
              <w:spacing w:after="40" w:before="40"/>
            </w:pPr>
            <w:r>
              <w:rPr>
                <w:color w:val="172033"/>
                <w:sz w:val="15"/>
              </w:rPr>
              <w:t>Cut seals quickly</w:t>
            </w:r>
          </w:p>
        </w:tc>
        <w:tc>
          <w:tcPr>
            <w:tcW w:type="dxa" w:w="4248"/>
            <w:vAlign w:val="center"/>
          </w:tcPr>
          <w:p>
            <w:pPr>
              <w:spacing w:after="40" w:before="40"/>
            </w:pPr>
            <w:r>
              <w:rPr>
                <w:color w:val="172033"/>
                <w:sz w:val="15"/>
              </w:rPr>
              <w:t>Platelet/fibrin seal; misplaced clot risk</w:t>
            </w:r>
          </w:p>
        </w:tc>
        <w:tc>
          <w:tcPr>
            <w:tcW w:type="dxa" w:w="763"/>
            <w:vAlign w:val="center"/>
          </w:tcPr>
          <w:p>
            <w:pPr>
              <w:spacing w:after="40" w:before="40"/>
            </w:pPr>
            <w:r>
              <w:rPr>
                <w:color w:val="172033"/>
                <w:sz w:val="15"/>
              </w:rPr>
              <w:t>B pp.3–4</w:t>
            </w:r>
          </w:p>
        </w:tc>
      </w:tr>
      <w:tr>
        <w:trPr>
          <w:cantSplit/>
        </w:trPr>
        <w:tc>
          <w:tcPr>
            <w:tcW w:type="dxa" w:w="2117"/>
            <w:vAlign w:val="center"/>
            <w:shd w:fill="F4F5FA"/>
          </w:tcPr>
          <w:p>
            <w:pPr>
              <w:spacing w:after="40" w:before="40"/>
            </w:pPr>
            <w:r>
              <w:rPr>
                <w:color w:val="172033"/>
                <w:sz w:val="15"/>
              </w:rPr>
              <w:t>Fainting</w:t>
            </w:r>
          </w:p>
        </w:tc>
        <w:tc>
          <w:tcPr>
            <w:tcW w:type="dxa" w:w="2261"/>
            <w:vAlign w:val="center"/>
            <w:shd w:fill="F4F5FA"/>
          </w:tcPr>
          <w:p>
            <w:pPr>
              <w:spacing w:after="40" w:before="40"/>
            </w:pPr>
            <w:r>
              <w:rPr>
                <w:color w:val="172033"/>
                <w:sz w:val="15"/>
              </w:rPr>
              <w:t>Stand up → collapse</w:t>
            </w:r>
          </w:p>
        </w:tc>
        <w:tc>
          <w:tcPr>
            <w:tcW w:type="dxa" w:w="4248"/>
            <w:vAlign w:val="center"/>
            <w:shd w:fill="F4F5FA"/>
          </w:tcPr>
          <w:p>
            <w:pPr>
              <w:spacing w:after="40" w:before="40"/>
            </w:pPr>
            <w:r>
              <w:rPr>
                <w:color w:val="172033"/>
                <w:sz w:val="15"/>
              </w:rPr>
              <w:t>Gravity and blood flow; rescue framing requires review</w:t>
            </w:r>
          </w:p>
        </w:tc>
        <w:tc>
          <w:tcPr>
            <w:tcW w:type="dxa" w:w="763"/>
            <w:vAlign w:val="center"/>
            <w:shd w:fill="F4F5FA"/>
          </w:tcPr>
          <w:p>
            <w:pPr>
              <w:spacing w:after="40" w:before="40"/>
            </w:pPr>
            <w:r>
              <w:rPr>
                <w:color w:val="172033"/>
                <w:sz w:val="15"/>
              </w:rPr>
              <w:t>B p.4</w:t>
            </w:r>
          </w:p>
        </w:tc>
      </w:tr>
      <w:tr>
        <w:trPr>
          <w:cantSplit/>
        </w:trPr>
        <w:tc>
          <w:tcPr>
            <w:tcW w:type="dxa" w:w="2117"/>
            <w:vAlign w:val="center"/>
          </w:tcPr>
          <w:p>
            <w:pPr>
              <w:spacing w:after="40" w:before="40"/>
            </w:pPr>
            <w:r>
              <w:rPr>
                <w:color w:val="172033"/>
                <w:sz w:val="15"/>
              </w:rPr>
              <w:t>Goosebumps</w:t>
            </w:r>
          </w:p>
        </w:tc>
        <w:tc>
          <w:tcPr>
            <w:tcW w:type="dxa" w:w="2261"/>
            <w:vAlign w:val="center"/>
          </w:tcPr>
          <w:p>
            <w:pPr>
              <w:spacing w:after="40" w:before="40"/>
            </w:pPr>
            <w:r>
              <w:rPr>
                <w:color w:val="172033"/>
                <w:sz w:val="15"/>
              </w:rPr>
              <w:t>Cold → raised hairs</w:t>
            </w:r>
          </w:p>
        </w:tc>
        <w:tc>
          <w:tcPr>
            <w:tcW w:type="dxa" w:w="4248"/>
            <w:vAlign w:val="center"/>
          </w:tcPr>
          <w:p>
            <w:pPr>
              <w:spacing w:after="40" w:before="40"/>
            </w:pPr>
            <w:r>
              <w:rPr>
                <w:color w:val="172033"/>
                <w:sz w:val="15"/>
              </w:rPr>
              <w:t>Furry ancestor and cat; present-day leftover</w:t>
            </w:r>
          </w:p>
        </w:tc>
        <w:tc>
          <w:tcPr>
            <w:tcW w:type="dxa" w:w="763"/>
            <w:vAlign w:val="center"/>
          </w:tcPr>
          <w:p>
            <w:pPr>
              <w:spacing w:after="40" w:before="40"/>
            </w:pPr>
            <w:r>
              <w:rPr>
                <w:color w:val="172033"/>
                <w:sz w:val="15"/>
              </w:rPr>
              <w:t>B p.5</w:t>
            </w:r>
          </w:p>
        </w:tc>
      </w:tr>
      <w:tr>
        <w:trPr>
          <w:cantSplit/>
        </w:trPr>
        <w:tc>
          <w:tcPr>
            <w:tcW w:type="dxa" w:w="2117"/>
            <w:vAlign w:val="center"/>
            <w:shd w:fill="F4F5FA"/>
          </w:tcPr>
          <w:p>
            <w:pPr>
              <w:spacing w:after="40" w:before="40"/>
            </w:pPr>
            <w:r>
              <w:rPr>
                <w:color w:val="172033"/>
                <w:sz w:val="15"/>
              </w:rPr>
              <w:t>Adrenaline</w:t>
            </w:r>
          </w:p>
        </w:tc>
        <w:tc>
          <w:tcPr>
            <w:tcW w:type="dxa" w:w="2261"/>
            <w:vAlign w:val="center"/>
            <w:shd w:fill="F4F5FA"/>
          </w:tcPr>
          <w:p>
            <w:pPr>
              <w:spacing w:after="40" w:before="40"/>
            </w:pPr>
            <w:r>
              <w:rPr>
                <w:color w:val="172033"/>
                <w:sz w:val="15"/>
              </w:rPr>
              <w:t>Extreme emergency strength story</w:t>
            </w:r>
          </w:p>
        </w:tc>
        <w:tc>
          <w:tcPr>
            <w:tcW w:type="dxa" w:w="4248"/>
            <w:vAlign w:val="center"/>
            <w:shd w:fill="F4F5FA"/>
          </w:tcPr>
          <w:p>
            <w:pPr>
              <w:spacing w:after="40" w:before="40"/>
            </w:pPr>
            <w:r>
              <w:rPr>
                <w:color w:val="172033"/>
                <w:sz w:val="15"/>
              </w:rPr>
              <w:t>Temporary physiological changes; cost afterward</w:t>
            </w:r>
          </w:p>
        </w:tc>
        <w:tc>
          <w:tcPr>
            <w:tcW w:type="dxa" w:w="763"/>
            <w:vAlign w:val="center"/>
            <w:shd w:fill="F4F5FA"/>
          </w:tcPr>
          <w:p>
            <w:pPr>
              <w:spacing w:after="40" w:before="40"/>
            </w:pPr>
            <w:r>
              <w:rPr>
                <w:color w:val="172033"/>
                <w:sz w:val="15"/>
              </w:rPr>
              <w:t>B p.5</w:t>
            </w:r>
          </w:p>
        </w:tc>
      </w:tr>
      <w:tr>
        <w:trPr>
          <w:cantSplit/>
        </w:trPr>
        <w:tc>
          <w:tcPr>
            <w:tcW w:type="dxa" w:w="2117"/>
            <w:vAlign w:val="center"/>
          </w:tcPr>
          <w:p>
            <w:pPr>
              <w:spacing w:after="40" w:before="40"/>
            </w:pPr>
            <w:r>
              <w:rPr>
                <w:color w:val="172033"/>
                <w:sz w:val="15"/>
              </w:rPr>
              <w:t>Immune cells</w:t>
            </w:r>
          </w:p>
        </w:tc>
        <w:tc>
          <w:tcPr>
            <w:tcW w:type="dxa" w:w="2261"/>
            <w:vAlign w:val="center"/>
          </w:tcPr>
          <w:p>
            <w:pPr>
              <w:spacing w:after="40" w:before="40"/>
            </w:pPr>
            <w:r>
              <w:rPr>
                <w:color w:val="172033"/>
                <w:sz w:val="15"/>
              </w:rPr>
              <w:t>System kills own damaged cells</w:t>
            </w:r>
          </w:p>
        </w:tc>
        <w:tc>
          <w:tcPr>
            <w:tcW w:type="dxa" w:w="4248"/>
            <w:vAlign w:val="center"/>
          </w:tcPr>
          <w:p>
            <w:pPr>
              <w:spacing w:after="40" w:before="40"/>
            </w:pPr>
            <w:r>
              <w:rPr>
                <w:color w:val="172033"/>
                <w:sz w:val="15"/>
              </w:rPr>
              <w:t>Surveillance paradox; limits of explanation</w:t>
            </w:r>
          </w:p>
        </w:tc>
        <w:tc>
          <w:tcPr>
            <w:tcW w:type="dxa" w:w="763"/>
            <w:vAlign w:val="center"/>
          </w:tcPr>
          <w:p>
            <w:pPr>
              <w:spacing w:after="40" w:before="40"/>
            </w:pPr>
            <w:r>
              <w:rPr>
                <w:color w:val="172033"/>
                <w:sz w:val="15"/>
              </w:rPr>
              <w:t>B p.6</w:t>
            </w:r>
          </w:p>
        </w:tc>
      </w:tr>
    </w:tbl>
    <w:p>
      <w:pPr>
        <w:spacing w:after="0"/>
      </w:pPr>
    </w:p>
    <w:p>
      <w:pPr>
        <w:pStyle w:val="Heading1"/>
      </w:pPr>
      <w:r>
        <w:t>8. Why a storyboard can sound “generic AI” despite a strong script</w:t>
      </w:r>
    </w:p>
    <w:p>
      <w:r>
        <w:t>This is a diagnostic hypothesis to test against Fred’s storyboard examples. It is not yet a demonstrated failure mode of the current workflow.</w:t>
      </w:r>
    </w:p>
    <w:p>
      <w:pPr>
        <w:pStyle w:val="ListBullet"/>
      </w:pPr>
      <w:r>
        <w:rPr>
          <w:b/>
        </w:rPr>
        <w:t xml:space="preserve">Summarizing instead of staging — </w:t>
      </w:r>
      <w:r>
        <w:t>“A person experiences tinnitus” may be accurate but omits the silent-room setup, impossible-source mystery and internal-sound reveal.</w:t>
      </w:r>
    </w:p>
    <w:p>
      <w:pPr>
        <w:pStyle w:val="ListBullet"/>
      </w:pPr>
      <w:r>
        <w:rPr>
          <w:b/>
        </w:rPr>
        <w:t xml:space="preserve">Flattening rhythm — </w:t>
      </w:r>
      <w:r>
        <w:t>Combining the setup, joke, mechanism and caution into one scene destroys the narrator’s successive turns.</w:t>
      </w:r>
    </w:p>
    <w:p>
      <w:pPr>
        <w:pStyle w:val="ListBullet"/>
      </w:pPr>
      <w:r>
        <w:rPr>
          <w:b/>
        </w:rPr>
        <w:t xml:space="preserve">Defaulting to generic locations — </w:t>
      </w:r>
      <w:r>
        <w:t>A fixed room background can contradict a specific hot stove, hill, concert, airplane or other scripted setting.</w:t>
      </w:r>
    </w:p>
    <w:p>
      <w:pPr>
        <w:pStyle w:val="ListBullet"/>
      </w:pPr>
      <w:r>
        <w:rPr>
          <w:b/>
        </w:rPr>
        <w:t xml:space="preserve">Overusing standard science visuals — </w:t>
      </w:r>
      <w:r>
        <w:t>A floating brain, organs, arrows or labels every few lines would substitute clichés for the story’s actual dramatic ideas.</w:t>
      </w:r>
    </w:p>
    <w:p>
      <w:pPr>
        <w:pStyle w:val="ListBullet"/>
      </w:pPr>
      <w:r>
        <w:rPr>
          <w:b/>
        </w:rPr>
        <w:t xml:space="preserve">Treating jokes as decoration — </w:t>
      </w:r>
      <w:r>
        <w:t>A random funny expression is not the same as visually paying off “Your foot didn’t nap” or the “loan comes due” metaphor.</w:t>
      </w:r>
    </w:p>
    <w:p>
      <w:pPr>
        <w:pStyle w:val="ListBullet"/>
      </w:pPr>
      <w:r>
        <w:rPr>
          <w:b/>
        </w:rPr>
        <w:t xml:space="preserve">Ignoring restraint — </w:t>
      </w:r>
      <w:r>
        <w:t>Not every explanatory sentence needs a visual gag; medical cautions and invisible sensations may require changes of tone.</w:t>
      </w:r>
    </w:p>
    <w:p>
      <w:pPr>
        <w:pStyle w:val="Heading1"/>
      </w:pPr>
      <w:r>
        <w:t>9. Prompt/workflow improvements suggested by the scripts</w:t>
      </w:r>
    </w:p>
    <w:p>
      <w:r>
        <w:t>Priority is the reasoning pipeline, not simply selecting a more expensive language model. The following proposal is provisional until we study the storyboard outputs and Fred’s examples.</w:t>
      </w:r>
    </w:p>
    <w:p>
      <w:r>
        <w:rPr>
          <w:b/>
          <w:color w:val="5653BE"/>
        </w:rPr>
        <w:t xml:space="preserve">Pass 1 — Annotate the narrative, not just the topic. </w:t>
      </w:r>
      <w:r>
        <w:t>For each section, extract: immediate scenario, false assumption, reveal, causal mechanism, analogy, emotional turn, final payoff, safety caveat, and exact script evidence. Keep it as structured intermediate data.</w:t>
      </w:r>
    </w:p>
    <w:p>
      <w:r>
        <w:rPr>
          <w:b/>
          <w:color w:val="5653BE"/>
        </w:rPr>
        <w:t xml:space="preserve">Pass 2 — Identify meaningful visual beats. </w:t>
      </w:r>
      <w:r>
        <w:t>Mark where the viewer’s understanding, location, action, scale or emotional tone changes. Do not equate sentences with scenes or force identical scene counts across topics.</w:t>
      </w:r>
    </w:p>
    <w:p>
      <w:r>
        <w:rPr>
          <w:b/>
          <w:color w:val="5653BE"/>
        </w:rPr>
        <w:t xml:space="preserve">Pass 3 — Retrieve analogous reference storyboard decisions. </w:t>
      </w:r>
      <w:r>
        <w:t>When storyboards are available, retrieve examples based on narrative function (“mistaken sensation + reveal”, “biological mechanism + reversal”), not only matching biomedical keywords.</w:t>
      </w:r>
    </w:p>
    <w:p>
      <w:r>
        <w:rPr>
          <w:b/>
          <w:color w:val="5653BE"/>
        </w:rPr>
        <w:t xml:space="preserve">Pass 4 — Generate animator-specific directions. </w:t>
      </w:r>
      <w:r>
        <w:t>Translate each beat into the required CSV columns with concrete subject/action, environment, foreground props, emotional intent and motion. Respect background-only image requirements if image generation is resumed.</w:t>
      </w:r>
    </w:p>
    <w:p>
      <w:r>
        <w:rPr>
          <w:b/>
          <w:color w:val="5653BE"/>
        </w:rPr>
        <w:t xml:space="preserve">Pass 5 — Critique against the source and reference style. </w:t>
      </w:r>
      <w:r>
        <w:t>Check for unsupported visual facts, generic setups, missed ironic turns, bland repeated transitions, difficult-to-animate instructions, and omitted caution beats. Reject or revise weak rows.</w:t>
      </w:r>
    </w:p>
    <w:p>
      <w:r>
        <w:rPr>
          <w:b/>
          <w:color w:val="5653BE"/>
        </w:rPr>
        <w:t xml:space="preserve">Pass 6 — Get creator/editor feedback. </w:t>
      </w:r>
      <w:r>
        <w:t>Ask which scene decisions are wrong and why, then turn the validated correction into a reusable rule. Only infer Evprof-specific animation grammar after studying actual handoffs.</w:t>
      </w:r>
    </w:p>
    <w:p>
      <w:pPr>
        <w:pStyle w:val="Heading1"/>
      </w:pPr>
      <w:r>
        <w:t>10. Reusable “script context card” for the next prompt</w:t>
      </w:r>
    </w:p>
    <w:p>
      <w:r>
        <w:t>A planning step could generate a context card per section; storyboard generation would consume both the ORIGINAL voiceover and this card. This is an example filled from the Body Glitch script, not a new version of the narration.</w:t>
      </w:r>
    </w:p>
    <w:tbl>
      <w:tblPr>
        <w:tblStyle w:val="TableGrid"/>
        <w:tblW w:type="auto" w:w="0"/>
        <w:jc w:val="center"/>
        <w:tblLayout w:type="fixed"/>
        <w:tblLook w:firstColumn="1" w:firstRow="1" w:lastColumn="0" w:lastRow="0" w:noHBand="0" w:noVBand="1" w:val="04A0"/>
      </w:tblPr>
      <w:tblGrid>
        <w:gridCol w:w="1973"/>
        <w:gridCol w:w="7430"/>
      </w:tblGrid>
      <w:tr>
        <w:trPr>
          <w:tblHeader/>
        </w:trPr>
        <w:tc>
          <w:tcPr>
            <w:tcW w:type="dxa" w:w="4723"/>
            <w:shd w:fill="262A53"/>
          </w:tcPr>
          <w:p>
            <w:pPr>
              <w:spacing w:after="40"/>
            </w:pPr>
            <w:r>
              <w:rPr>
                <w:b/>
                <w:color w:val="FFFFFF"/>
                <w:sz w:val="16"/>
              </w:rPr>
              <w:t>Context field</w:t>
            </w:r>
          </w:p>
        </w:tc>
        <w:tc>
          <w:tcPr>
            <w:tcW w:type="dxa" w:w="4723"/>
            <w:shd w:fill="262A53"/>
          </w:tcPr>
          <w:p>
            <w:pPr>
              <w:spacing w:after="40"/>
            </w:pPr>
            <w:r>
              <w:rPr>
                <w:b/>
                <w:color w:val="FFFFFF"/>
                <w:sz w:val="16"/>
              </w:rPr>
              <w:t>Extracted value</w:t>
            </w:r>
          </w:p>
        </w:tc>
      </w:tr>
      <w:tr>
        <w:trPr>
          <w:cantSplit/>
        </w:trPr>
        <w:tc>
          <w:tcPr>
            <w:tcW w:type="dxa" w:w="1973"/>
            <w:vAlign w:val="center"/>
            <w:shd w:fill="F4F5FA"/>
          </w:tcPr>
          <w:p>
            <w:pPr>
              <w:spacing w:after="40" w:before="40"/>
            </w:pPr>
            <w:r>
              <w:rPr>
                <w:color w:val="172033"/>
                <w:sz w:val="16"/>
              </w:rPr>
              <w:t>section</w:t>
            </w:r>
          </w:p>
        </w:tc>
        <w:tc>
          <w:tcPr>
            <w:tcW w:type="dxa" w:w="7430"/>
            <w:vAlign w:val="center"/>
            <w:shd w:fill="F4F5FA"/>
          </w:tcPr>
          <w:p>
            <w:pPr>
              <w:spacing w:after="40" w:before="40"/>
            </w:pPr>
            <w:r>
              <w:rPr>
                <w:color w:val="172033"/>
                <w:sz w:val="16"/>
              </w:rPr>
              <w:t>Phantom Phone Vibration</w:t>
            </w:r>
          </w:p>
        </w:tc>
      </w:tr>
      <w:tr>
        <w:trPr>
          <w:cantSplit/>
        </w:trPr>
        <w:tc>
          <w:tcPr>
            <w:tcW w:type="dxa" w:w="1973"/>
            <w:vAlign w:val="center"/>
          </w:tcPr>
          <w:p>
            <w:pPr>
              <w:spacing w:after="40" w:before="40"/>
            </w:pPr>
            <w:r>
              <w:rPr>
                <w:color w:val="172033"/>
                <w:sz w:val="16"/>
              </w:rPr>
              <w:t>source_reference</w:t>
            </w:r>
          </w:p>
        </w:tc>
        <w:tc>
          <w:tcPr>
            <w:tcW w:type="dxa" w:w="7430"/>
            <w:vAlign w:val="center"/>
          </w:tcPr>
          <w:p>
            <w:pPr>
              <w:spacing w:after="40" w:before="40"/>
            </w:pPr>
            <w:r>
              <w:rPr>
                <w:color w:val="172033"/>
                <w:sz w:val="16"/>
              </w:rPr>
              <w:t>A p.1</w:t>
            </w:r>
          </w:p>
        </w:tc>
      </w:tr>
      <w:tr>
        <w:trPr>
          <w:cantSplit/>
        </w:trPr>
        <w:tc>
          <w:tcPr>
            <w:tcW w:type="dxa" w:w="1973"/>
            <w:vAlign w:val="center"/>
            <w:shd w:fill="F4F5FA"/>
          </w:tcPr>
          <w:p>
            <w:pPr>
              <w:spacing w:after="40" w:before="40"/>
            </w:pPr>
            <w:r>
              <w:rPr>
                <w:color w:val="172033"/>
                <w:sz w:val="16"/>
              </w:rPr>
              <w:t>literal_opening_event</w:t>
            </w:r>
          </w:p>
        </w:tc>
        <w:tc>
          <w:tcPr>
            <w:tcW w:type="dxa" w:w="7430"/>
            <w:vAlign w:val="center"/>
            <w:shd w:fill="F4F5FA"/>
          </w:tcPr>
          <w:p>
            <w:pPr>
              <w:spacing w:after="40" w:before="40"/>
            </w:pPr>
            <w:r>
              <w:rPr>
                <w:color w:val="172033"/>
                <w:sz w:val="16"/>
              </w:rPr>
              <w:t>Viewer feels an apparent buzz, checks the pocket, finds no notification.</w:t>
            </w:r>
          </w:p>
        </w:tc>
      </w:tr>
      <w:tr>
        <w:trPr>
          <w:cantSplit/>
        </w:trPr>
        <w:tc>
          <w:tcPr>
            <w:tcW w:type="dxa" w:w="1973"/>
            <w:vAlign w:val="center"/>
          </w:tcPr>
          <w:p>
            <w:pPr>
              <w:spacing w:after="40" w:before="40"/>
            </w:pPr>
            <w:r>
              <w:rPr>
                <w:color w:val="172033"/>
                <w:sz w:val="16"/>
              </w:rPr>
              <w:t>viewer_assumption</w:t>
            </w:r>
          </w:p>
        </w:tc>
        <w:tc>
          <w:tcPr>
            <w:tcW w:type="dxa" w:w="7430"/>
            <w:vAlign w:val="center"/>
          </w:tcPr>
          <w:p>
            <w:pPr>
              <w:spacing w:after="40" w:before="40"/>
            </w:pPr>
            <w:r>
              <w:rPr>
                <w:color w:val="172033"/>
                <w:sz w:val="16"/>
              </w:rPr>
              <w:t>A real phone notification caused the sensation.</w:t>
            </w:r>
          </w:p>
        </w:tc>
      </w:tr>
      <w:tr>
        <w:trPr>
          <w:cantSplit/>
        </w:trPr>
        <w:tc>
          <w:tcPr>
            <w:tcW w:type="dxa" w:w="1973"/>
            <w:vAlign w:val="center"/>
            <w:shd w:fill="F4F5FA"/>
          </w:tcPr>
          <w:p>
            <w:pPr>
              <w:spacing w:after="40" w:before="40"/>
            </w:pPr>
            <w:r>
              <w:rPr>
                <w:color w:val="172033"/>
                <w:sz w:val="16"/>
              </w:rPr>
              <w:t>reversal</w:t>
            </w:r>
          </w:p>
        </w:tc>
        <w:tc>
          <w:tcPr>
            <w:tcW w:type="dxa" w:w="7430"/>
            <w:vAlign w:val="center"/>
            <w:shd w:fill="F4F5FA"/>
          </w:tcPr>
          <w:p>
            <w:pPr>
              <w:spacing w:after="40" w:before="40"/>
            </w:pPr>
            <w:r>
              <w:rPr>
                <w:color w:val="172033"/>
                <w:sz w:val="16"/>
              </w:rPr>
              <w:t>The brain can interpret ambiguous sensations as a familiar alert.</w:t>
            </w:r>
          </w:p>
        </w:tc>
      </w:tr>
      <w:tr>
        <w:trPr>
          <w:cantSplit/>
        </w:trPr>
        <w:tc>
          <w:tcPr>
            <w:tcW w:type="dxa" w:w="1973"/>
            <w:vAlign w:val="center"/>
          </w:tcPr>
          <w:p>
            <w:pPr>
              <w:spacing w:after="40" w:before="40"/>
            </w:pPr>
            <w:r>
              <w:rPr>
                <w:color w:val="172033"/>
                <w:sz w:val="16"/>
              </w:rPr>
              <w:t>mechanism</w:t>
            </w:r>
          </w:p>
        </w:tc>
        <w:tc>
          <w:tcPr>
            <w:tcW w:type="dxa" w:w="7430"/>
            <w:vAlign w:val="center"/>
          </w:tcPr>
          <w:p>
            <w:pPr>
              <w:spacing w:after="40" w:before="40"/>
            </w:pPr>
            <w:r>
              <w:rPr>
                <w:color w:val="172033"/>
                <w:sz w:val="16"/>
              </w:rPr>
              <w:t>Learned expectations prime the brain; innocuous cues are mislabeled.</w:t>
            </w:r>
          </w:p>
        </w:tc>
      </w:tr>
      <w:tr>
        <w:trPr>
          <w:cantSplit/>
        </w:trPr>
        <w:tc>
          <w:tcPr>
            <w:tcW w:type="dxa" w:w="1973"/>
            <w:vAlign w:val="center"/>
            <w:shd w:fill="F4F5FA"/>
          </w:tcPr>
          <w:p>
            <w:pPr>
              <w:spacing w:after="40" w:before="40"/>
            </w:pPr>
            <w:r>
              <w:rPr>
                <w:color w:val="172033"/>
                <w:sz w:val="16"/>
              </w:rPr>
              <w:t>voice_tone</w:t>
            </w:r>
          </w:p>
        </w:tc>
        <w:tc>
          <w:tcPr>
            <w:tcW w:type="dxa" w:w="7430"/>
            <w:vAlign w:val="center"/>
            <w:shd w:fill="F4F5FA"/>
          </w:tcPr>
          <w:p>
            <w:pPr>
              <w:spacing w:after="40" w:before="40"/>
            </w:pPr>
            <w:r>
              <w:rPr>
                <w:color w:val="172033"/>
                <w:sz w:val="16"/>
              </w:rPr>
              <w:t>Curious → unsettling → dryly self-aware.</w:t>
            </w:r>
          </w:p>
        </w:tc>
      </w:tr>
      <w:tr>
        <w:trPr>
          <w:cantSplit/>
        </w:trPr>
        <w:tc>
          <w:tcPr>
            <w:tcW w:type="dxa" w:w="1973"/>
            <w:vAlign w:val="center"/>
          </w:tcPr>
          <w:p>
            <w:pPr>
              <w:spacing w:after="40" w:before="40"/>
            </w:pPr>
            <w:r>
              <w:rPr>
                <w:color w:val="172033"/>
                <w:sz w:val="16"/>
              </w:rPr>
              <w:t>figurative_devices</w:t>
            </w:r>
          </w:p>
        </w:tc>
        <w:tc>
          <w:tcPr>
            <w:tcW w:type="dxa" w:w="7430"/>
            <w:vAlign w:val="center"/>
          </w:tcPr>
          <w:p>
            <w:pPr>
              <w:spacing w:after="40" w:before="40"/>
            </w:pPr>
            <w:r>
              <w:rPr>
                <w:color w:val="172033"/>
                <w:sz w:val="16"/>
              </w:rPr>
              <w:t>“Prediction machine”; brain rounds a cue up to “phone”.</w:t>
            </w:r>
          </w:p>
        </w:tc>
      </w:tr>
      <w:tr>
        <w:trPr>
          <w:cantSplit/>
        </w:trPr>
        <w:tc>
          <w:tcPr>
            <w:tcW w:type="dxa" w:w="1973"/>
            <w:vAlign w:val="center"/>
            <w:shd w:fill="F4F5FA"/>
          </w:tcPr>
          <w:p>
            <w:pPr>
              <w:spacing w:after="40" w:before="40"/>
            </w:pPr>
            <w:r>
              <w:rPr>
                <w:color w:val="172033"/>
                <w:sz w:val="16"/>
              </w:rPr>
              <w:t>imageable_anchors</w:t>
            </w:r>
          </w:p>
        </w:tc>
        <w:tc>
          <w:tcPr>
            <w:tcW w:type="dxa" w:w="7430"/>
            <w:vAlign w:val="center"/>
            <w:shd w:fill="F4F5FA"/>
          </w:tcPr>
          <w:p>
            <w:pPr>
              <w:spacing w:after="40" w:before="40"/>
            </w:pPr>
            <w:r>
              <w:rPr>
                <w:color w:val="172033"/>
                <w:sz w:val="16"/>
              </w:rPr>
              <w:t>Pocket, reaching hand, phone, absent alert, fabric/twitch/itch.</w:t>
            </w:r>
          </w:p>
        </w:tc>
      </w:tr>
      <w:tr>
        <w:trPr>
          <w:cantSplit/>
        </w:trPr>
        <w:tc>
          <w:tcPr>
            <w:tcW w:type="dxa" w:w="1973"/>
            <w:vAlign w:val="center"/>
          </w:tcPr>
          <w:p>
            <w:pPr>
              <w:spacing w:after="40" w:before="40"/>
            </w:pPr>
            <w:r>
              <w:rPr>
                <w:color w:val="172033"/>
                <w:sz w:val="16"/>
              </w:rPr>
              <w:t>ending_intent</w:t>
            </w:r>
          </w:p>
        </w:tc>
        <w:tc>
          <w:tcPr>
            <w:tcW w:type="dxa" w:w="7430"/>
            <w:vAlign w:val="center"/>
          </w:tcPr>
          <w:p>
            <w:pPr>
              <w:spacing w:after="40" w:before="40"/>
            </w:pPr>
            <w:r>
              <w:rPr>
                <w:color w:val="172033"/>
                <w:sz w:val="16"/>
              </w:rPr>
              <w:t>Recognize the role of repeated checking habits, with a wry sting.</w:t>
            </w:r>
          </w:p>
        </w:tc>
      </w:tr>
      <w:tr>
        <w:trPr>
          <w:cantSplit/>
        </w:trPr>
        <w:tc>
          <w:tcPr>
            <w:tcW w:type="dxa" w:w="1973"/>
            <w:vAlign w:val="center"/>
            <w:shd w:fill="F4F5FA"/>
          </w:tcPr>
          <w:p>
            <w:pPr>
              <w:spacing w:after="40" w:before="40"/>
            </w:pPr>
            <w:r>
              <w:rPr>
                <w:color w:val="172033"/>
                <w:sz w:val="16"/>
              </w:rPr>
              <w:t>caveat</w:t>
            </w:r>
          </w:p>
        </w:tc>
        <w:tc>
          <w:tcPr>
            <w:tcW w:type="dxa" w:w="7430"/>
            <w:vAlign w:val="center"/>
            <w:shd w:fill="F4F5FA"/>
          </w:tcPr>
          <w:p>
            <w:pPr>
              <w:spacing w:after="40" w:before="40"/>
            </w:pPr>
            <w:r>
              <w:rPr>
                <w:color w:val="172033"/>
                <w:sz w:val="16"/>
              </w:rPr>
              <w:t>Do not add invented medical claims; preserve original wording verbatim.</w:t>
            </w:r>
          </w:p>
        </w:tc>
      </w:tr>
    </w:tbl>
    <w:p>
      <w:pPr>
        <w:spacing w:after="0"/>
      </w:pPr>
    </w:p>
    <w:p>
      <w:pPr>
        <w:pStyle w:val="Heading1"/>
      </w:pPr>
      <w:r>
        <w:t>11. Prompt specification — candidate addition</w:t>
      </w:r>
    </w:p>
    <w:p>
      <w:r>
        <w:t>This wording is a starting instruction to test, not a final Evprof house-style prompt:</w:t>
      </w:r>
    </w:p>
    <w:p>
      <w:pPr>
        <w:pStyle w:val="Quote"/>
        <w:ind w:left="274"/>
      </w:pPr>
      <w:r>
        <w:rPr>
          <w:i/>
          <w:color w:val="5653BE"/>
        </w:rPr>
        <w:t>“Before writing scenes, analyze the script as a sequence of visual-storytelling beats, not a list of facts. Identify each audience-facing incident, mistaken belief, reveal, mechanism, metaphor, comedic or emotional turn, and safety caveat. Preserve the narrator’s timing and tone. Write scenes that show a specific action or visual change and explain what the animator needs to draw or move; do not simply paraphrase the voiceover. Use concrete settings when the script names them, but do not invent unnecessary characters, locations, scientific assertions or text. Use the supplied approved storyboards to learn scene-depiction conventions. If a stylistic convention cannot be established from those examples, do not pretend it is known.”</w:t>
      </w:r>
      <w:r>
        <w:rPr>
          <w:i w:val="0"/>
          <w:color w:val="4B586D"/>
          <w:sz w:val="16"/>
        </w:rPr>
        <w:t xml:space="preserve">  — Proposed prompt supplement</w:t>
      </w:r>
    </w:p>
    <w:p>
      <w:pPr>
        <w:pStyle w:val="Heading1"/>
      </w:pPr>
      <w:r>
        <w:t>12. Test plan and success criteria</w:t>
      </w:r>
    </w:p>
    <w:p>
      <w:r>
        <w:t>Once matching storyboards are available, use these checkpoints. Score 1–5 per category against a human reference, documenting one example of success/failure per score. Until that comparison, “Evprof style match” remains unrated.</w:t>
      </w:r>
    </w:p>
    <w:tbl>
      <w:tblPr>
        <w:tblStyle w:val="TableGrid"/>
        <w:tblW w:type="auto" w:w="0"/>
        <w:jc w:val="center"/>
        <w:tblLayout w:type="fixed"/>
        <w:tblLook w:firstColumn="1" w:firstRow="1" w:lastColumn="0" w:lastRow="0" w:noHBand="0" w:noVBand="1" w:val="04A0"/>
      </w:tblPr>
      <w:tblGrid>
        <w:gridCol w:w="2376"/>
        <w:gridCol w:w="7027"/>
      </w:tblGrid>
      <w:tr>
        <w:trPr>
          <w:tblHeader/>
        </w:trPr>
        <w:tc>
          <w:tcPr>
            <w:tcW w:type="dxa" w:w="4723"/>
            <w:shd w:fill="262A53"/>
          </w:tcPr>
          <w:p>
            <w:pPr>
              <w:spacing w:after="40"/>
            </w:pPr>
            <w:r>
              <w:rPr>
                <w:b/>
                <w:color w:val="FFFFFF"/>
                <w:sz w:val="16"/>
              </w:rPr>
              <w:t>Criterion</w:t>
            </w:r>
          </w:p>
        </w:tc>
        <w:tc>
          <w:tcPr>
            <w:tcW w:type="dxa" w:w="4723"/>
            <w:shd w:fill="262A53"/>
          </w:tcPr>
          <w:p>
            <w:pPr>
              <w:spacing w:after="40"/>
            </w:pPr>
            <w:r>
              <w:rPr>
                <w:b/>
                <w:color w:val="FFFFFF"/>
                <w:sz w:val="16"/>
              </w:rPr>
              <w:t>Question asked during review</w:t>
            </w:r>
          </w:p>
        </w:tc>
      </w:tr>
      <w:tr>
        <w:trPr>
          <w:cantSplit/>
        </w:trPr>
        <w:tc>
          <w:tcPr>
            <w:tcW w:type="dxa" w:w="2376"/>
            <w:vAlign w:val="center"/>
            <w:shd w:fill="F4F5FA"/>
          </w:tcPr>
          <w:p>
            <w:pPr>
              <w:spacing w:after="40" w:before="40"/>
            </w:pPr>
            <w:r>
              <w:rPr>
                <w:color w:val="172033"/>
                <w:sz w:val="16"/>
              </w:rPr>
              <w:t>Script fidelity</w:t>
            </w:r>
          </w:p>
        </w:tc>
        <w:tc>
          <w:tcPr>
            <w:tcW w:type="dxa" w:w="7027"/>
            <w:vAlign w:val="center"/>
            <w:shd w:fill="F4F5FA"/>
          </w:tcPr>
          <w:p>
            <w:pPr>
              <w:spacing w:after="40" w:before="40"/>
            </w:pPr>
            <w:r>
              <w:rPr>
                <w:color w:val="172033"/>
                <w:sz w:val="16"/>
              </w:rPr>
              <w:t>Does every visual choice correspond to the source script or a justified staging inference?</w:t>
            </w:r>
          </w:p>
        </w:tc>
      </w:tr>
      <w:tr>
        <w:trPr>
          <w:cantSplit/>
        </w:trPr>
        <w:tc>
          <w:tcPr>
            <w:tcW w:type="dxa" w:w="2376"/>
            <w:vAlign w:val="center"/>
          </w:tcPr>
          <w:p>
            <w:pPr>
              <w:spacing w:after="40" w:before="40"/>
            </w:pPr>
            <w:r>
              <w:rPr>
                <w:color w:val="172033"/>
                <w:sz w:val="16"/>
              </w:rPr>
              <w:t>Narrative-turn fidelity</w:t>
            </w:r>
          </w:p>
        </w:tc>
        <w:tc>
          <w:tcPr>
            <w:tcW w:type="dxa" w:w="7027"/>
            <w:vAlign w:val="center"/>
          </w:tcPr>
          <w:p>
            <w:pPr>
              <w:spacing w:after="40" w:before="40"/>
            </w:pPr>
            <w:r>
              <w:rPr>
                <w:color w:val="172033"/>
                <w:sz w:val="16"/>
              </w:rPr>
              <w:t>Are recognition, reversal, mechanism and punchline/caveat paced distinctly where needed?</w:t>
            </w:r>
          </w:p>
        </w:tc>
      </w:tr>
      <w:tr>
        <w:trPr>
          <w:cantSplit/>
        </w:trPr>
        <w:tc>
          <w:tcPr>
            <w:tcW w:type="dxa" w:w="2376"/>
            <w:vAlign w:val="center"/>
            <w:shd w:fill="F4F5FA"/>
          </w:tcPr>
          <w:p>
            <w:pPr>
              <w:spacing w:after="40" w:before="40"/>
            </w:pPr>
            <w:r>
              <w:rPr>
                <w:color w:val="172033"/>
                <w:sz w:val="16"/>
              </w:rPr>
              <w:t>Scene specificity</w:t>
            </w:r>
          </w:p>
        </w:tc>
        <w:tc>
          <w:tcPr>
            <w:tcW w:type="dxa" w:w="7027"/>
            <w:vAlign w:val="center"/>
            <w:shd w:fill="F4F5FA"/>
          </w:tcPr>
          <w:p>
            <w:pPr>
              <w:spacing w:after="40" w:before="40"/>
            </w:pPr>
            <w:r>
              <w:rPr>
                <w:color w:val="172033"/>
                <w:sz w:val="16"/>
              </w:rPr>
              <w:t>Could an animator draw and animate this scene without inventing the key action?</w:t>
            </w:r>
          </w:p>
        </w:tc>
      </w:tr>
      <w:tr>
        <w:trPr>
          <w:cantSplit/>
        </w:trPr>
        <w:tc>
          <w:tcPr>
            <w:tcW w:type="dxa" w:w="2376"/>
            <w:vAlign w:val="center"/>
          </w:tcPr>
          <w:p>
            <w:pPr>
              <w:spacing w:after="40" w:before="40"/>
            </w:pPr>
            <w:r>
              <w:rPr>
                <w:color w:val="172033"/>
                <w:sz w:val="16"/>
              </w:rPr>
              <w:t>Channel-style match</w:t>
            </w:r>
          </w:p>
        </w:tc>
        <w:tc>
          <w:tcPr>
            <w:tcW w:type="dxa" w:w="7027"/>
            <w:vAlign w:val="center"/>
          </w:tcPr>
          <w:p>
            <w:pPr>
              <w:spacing w:after="40" w:before="40"/>
            </w:pPr>
            <w:r>
              <w:rPr>
                <w:color w:val="172033"/>
                <w:sz w:val="16"/>
              </w:rPr>
              <w:t>Do scene ideas and depictions resemble Fred’s approved storyboard references, beyond topic similarities?</w:t>
            </w:r>
          </w:p>
        </w:tc>
      </w:tr>
      <w:tr>
        <w:trPr>
          <w:cantSplit/>
        </w:trPr>
        <w:tc>
          <w:tcPr>
            <w:tcW w:type="dxa" w:w="2376"/>
            <w:vAlign w:val="center"/>
            <w:shd w:fill="F4F5FA"/>
          </w:tcPr>
          <w:p>
            <w:pPr>
              <w:spacing w:after="40" w:before="40"/>
            </w:pPr>
            <w:r>
              <w:rPr>
                <w:color w:val="172033"/>
                <w:sz w:val="16"/>
              </w:rPr>
              <w:t>Non-generic originality</w:t>
            </w:r>
          </w:p>
        </w:tc>
        <w:tc>
          <w:tcPr>
            <w:tcW w:type="dxa" w:w="7027"/>
            <w:vAlign w:val="center"/>
            <w:shd w:fill="F4F5FA"/>
          </w:tcPr>
          <w:p>
            <w:pPr>
              <w:spacing w:after="40" w:before="40"/>
            </w:pPr>
            <w:r>
              <w:rPr>
                <w:color w:val="172033"/>
                <w:sz w:val="16"/>
              </w:rPr>
              <w:t>Does the sequence avoid stock reaction shots, repeated settings, generic science imagery and redundant labels?</w:t>
            </w:r>
          </w:p>
        </w:tc>
      </w:tr>
      <w:tr>
        <w:trPr>
          <w:cantSplit/>
        </w:trPr>
        <w:tc>
          <w:tcPr>
            <w:tcW w:type="dxa" w:w="2376"/>
            <w:vAlign w:val="center"/>
          </w:tcPr>
          <w:p>
            <w:pPr>
              <w:spacing w:after="40" w:before="40"/>
            </w:pPr>
            <w:r>
              <w:rPr>
                <w:color w:val="172033"/>
                <w:sz w:val="16"/>
              </w:rPr>
              <w:t>Production feasibility</w:t>
            </w:r>
          </w:p>
        </w:tc>
        <w:tc>
          <w:tcPr>
            <w:tcW w:type="dxa" w:w="7027"/>
            <w:vAlign w:val="center"/>
          </w:tcPr>
          <w:p>
            <w:pPr>
              <w:spacing w:after="40" w:before="40"/>
            </w:pPr>
            <w:r>
              <w:rPr>
                <w:color w:val="172033"/>
                <w:sz w:val="16"/>
              </w:rPr>
              <w:t>Are backgrounds, hand-drawn characters/props, on-screen text and motion separated clearly?</w:t>
            </w:r>
          </w:p>
        </w:tc>
      </w:tr>
    </w:tbl>
    <w:p>
      <w:pPr>
        <w:spacing w:after="0"/>
      </w:pPr>
    </w:p>
    <w:p>
      <w:r>
        <w:t>Recommended first comparison: “Phantom Phone Vibration” (short, humor and reveal-heavy) and “Fainting” (longer, explanation-heavy). Then test two held-out sections neither used while adjusting prompts. This helps distinguish generalization from memorizing the examples.</w:t>
      </w:r>
    </w:p>
    <w:p>
      <w:pPr>
        <w:pStyle w:val="Heading1"/>
      </w:pPr>
      <w:r>
        <w:t>13. What we still need from the storyboards</w:t>
      </w:r>
    </w:p>
    <w:p>
      <w:pPr>
        <w:pStyle w:val="ListBullet"/>
      </w:pPr>
      <w:r>
        <w:t>Exactly where animators introduce new scenes versus continue the same shot; typical shot duration and pacing relative to voiceover.</w:t>
      </w:r>
    </w:p>
    <w:p>
      <w:pPr>
        <w:pStyle w:val="ListBullet"/>
      </w:pPr>
      <w:r>
        <w:t>How Evprof treats unseen biology: literal internal diagrams, character-level comedy, symbolic metaphors, zoom-ins, cutaways or combinations.</w:t>
      </w:r>
    </w:p>
    <w:p>
      <w:pPr>
        <w:pStyle w:val="ListBullet"/>
      </w:pPr>
      <w:r>
        <w:t>The real balance between narrator-led humor and animator-added jokes; what kinds of visual jokes are encouraged or excluded.</w:t>
      </w:r>
    </w:p>
    <w:p>
      <w:pPr>
        <w:pStyle w:val="ListBullet"/>
      </w:pPr>
      <w:r>
        <w:t>The normal style and specificity of “What’s happening”, “Hand-drawn characters &amp; props” and “Transitions/Motion” in Fred’s approved CSV.</w:t>
      </w:r>
    </w:p>
    <w:p>
      <w:pPr>
        <w:pStyle w:val="ListBullet"/>
      </w:pPr>
      <w:r>
        <w:t>How recurring character designs, physical acting, staging and background locations are chosen across unrelated topics.</w:t>
      </w:r>
    </w:p>
    <w:p>
      <w:pPr>
        <w:pStyle w:val="ListBullet"/>
      </w:pPr>
      <w:r>
        <w:t>Which health explanations are intentionally simplified by the writer, and what scientific/editorial checks the channel applies.</w:t>
      </w:r>
    </w:p>
    <w:p>
      <w:pPr>
        <w:pStyle w:val="Heading1"/>
      </w:pPr>
      <w:r>
        <w:t>Bottom line</w:t>
      </w:r>
    </w:p>
    <w:p>
      <w:r>
        <w:t>The raw scripts already contain a strong design brief for each scene: a viewer situation, a contradiction, a cause-and-effect explanation and an emotional payoff. Our first task is to make the workflow notice and preserve these beats. Our second task—possible only with the matching storyboards—is to learn how Evprof actually visualizes them. More model capacity could help, but higher-quality structure, reference mapping and critique are the more defensible first changes.</w:t>
      </w:r>
    </w:p>
    <w:p>
      <w:pPr>
        <w:pStyle w:val="Heading1"/>
      </w:pPr>
      <w:r>
        <w:t>Source notes</w:t>
      </w:r>
    </w:p>
    <w:p>
      <w:r>
        <w:t>A — Every Weird Body Glitch You Can’t Explain, supplied PDF, 7 pages. Sections: Phantom Phone Vibration through Feeling Like Your Body Is Vibrating Internally.</w:t>
      </w:r>
    </w:p>
    <w:p>
      <w:r>
        <w:t>B — The Strangest Things Your Body Does to Keep You Alive, supplied PDF, 6 pages. Sections: Pain through Your Immune System Killing Your Own Cells, followed by a closing synthesis.</w:t>
      </w:r>
    </w:p>
    <w:p>
      <w:pPr>
        <w:pStyle w:val="SmallNote"/>
      </w:pPr>
      <w:r>
        <w:t>Page citations refer to the PDF page numbers, not timestamps. This report contains interpretations and workflow recommendations clearly distinguished from text directly observed in the sources.</w:t>
      </w:r>
    </w:p>
    <w:sectPr w:rsidR="00FC693F" w:rsidRPr="0006063C" w:rsidSect="00034616">
      <w:headerReference w:type="default" r:id="rId9"/>
      <w:footerReference w:type="default" r:id="rId10"/>
      <w:pgSz w:w="11952" w:h="16848"/>
      <w:pgMar w:top="1123" w:right="1253" w:bottom="1022" w:left="125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B586D"/>
        <w:sz w:val="14"/>
      </w:rPr>
      <w:t xml:space="preserve">SOURCE-BASED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Pr>
    <w:r>
      <w:rPr>
        <w:b/>
        <w:color w:val="4B586D"/>
        <w:sz w:val="15"/>
      </w:rPr>
      <w:t>EVPROF / SCRIPT STYLE ANALYSIS  •  RESEARCH NOTE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5653BE"/>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653BE"/>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5653B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headingSmall">
    <w:name w:val="SubheadingSmall"/>
    <w:pPr>
      <w:spacing w:after="220"/>
    </w:pPr>
    <w:rPr>
      <w:rFonts w:ascii="Aptos" w:hAnsi="Aptos"/>
      <w:color w:val="4B586D"/>
      <w:sz w:val="22"/>
    </w:rPr>
  </w:style>
  <w:style w:type="paragraph" w:customStyle="1" w:styleId="SmallNote">
    <w:name w:val="Small Note"/>
    <w:pPr>
      <w:spacing w:after="100"/>
    </w:pPr>
    <w:rPr>
      <w:rFonts w:ascii="Aptos" w:hAnsi="Aptos"/>
      <w:color w:val="4B58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Evprof Script DNA — Script Style Analysis</dc:title>
  <dc:subject>Source-grounded comparative script analysis for storyboard automation</dc:subject>
  <dc:creator>Research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