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F6841" w14:textId="5D23AFA2" w:rsidR="00AE1863" w:rsidRDefault="00AE6F09">
      <w:pPr>
        <w:pStyle w:val="Title"/>
      </w:pPr>
      <w:r>
        <w:t xml:space="preserve">preliminary analysis, US </w:t>
      </w:r>
      <w:r w:rsidR="00F92352">
        <w:t xml:space="preserve">resignation </w:t>
      </w:r>
    </w:p>
    <w:p w14:paraId="5D1F4CCB" w14:textId="77777777" w:rsidR="00AE1863" w:rsidRDefault="00F92352">
      <w:pPr>
        <w:pStyle w:val="Date"/>
      </w:pPr>
      <w:r>
        <w:t>2022-07-05</w:t>
      </w:r>
    </w:p>
    <w:p w14:paraId="00C1F5D2" w14:textId="12EC0324" w:rsidR="007A6002" w:rsidRDefault="007A6002" w:rsidP="007A6002">
      <w:pPr>
        <w:pStyle w:val="Heading2"/>
      </w:pPr>
      <w:bookmarkStart w:id="0" w:name="openings-hires-employment"/>
      <w:r>
        <w:t xml:space="preserve">Job </w:t>
      </w:r>
      <w:r w:rsidR="00F92352">
        <w:t>openings, hires, employment</w:t>
      </w:r>
    </w:p>
    <w:p w14:paraId="745418A8" w14:textId="77777777" w:rsidR="007A6002" w:rsidRDefault="007A6002" w:rsidP="007A6002">
      <w:pPr>
        <w:pStyle w:val="Heading3"/>
      </w:pPr>
      <w:bookmarkStart w:id="1" w:name="comment"/>
      <w:r>
        <w:t>comment:</w:t>
      </w:r>
    </w:p>
    <w:p w14:paraId="5942CE44" w14:textId="77777777" w:rsidR="007A6002" w:rsidRDefault="007A6002" w:rsidP="007A6002">
      <w:pPr>
        <w:pStyle w:val="FirstParagraph"/>
      </w:pPr>
      <w:r>
        <w:t xml:space="preserve">the number of overall </w:t>
      </w:r>
      <w:proofErr w:type="gramStart"/>
      <w:r>
        <w:t>employment</w:t>
      </w:r>
      <w:proofErr w:type="gramEnd"/>
      <w:r>
        <w:t xml:space="preserve"> experienced a sharp drop in April 2020, since then it has been recovering, close to the pre-pandemic level. “Job Openings as all positions that are open (not filled) on the last business day of the month.” (</w:t>
      </w:r>
      <w:hyperlink r:id="rId7" w:anchor="2">
        <w:r>
          <w:rPr>
            <w:rStyle w:val="Hyperlink"/>
          </w:rPr>
          <w:t>https://www.bls.gov/jlt/jltdef.htm#2</w:t>
        </w:r>
      </w:hyperlink>
      <w:r>
        <w:t xml:space="preserve">) </w:t>
      </w:r>
    </w:p>
    <w:p w14:paraId="72EFF837" w14:textId="77777777" w:rsidR="007A6002" w:rsidRDefault="007A6002" w:rsidP="007A6002">
      <w:pPr>
        <w:pStyle w:val="FirstParagraph"/>
      </w:pPr>
    </w:p>
    <w:p w14:paraId="7B125D4C" w14:textId="7D1E3CF3" w:rsidR="007A6002" w:rsidRDefault="007A6002" w:rsidP="007A6002">
      <w:pPr>
        <w:pStyle w:val="FirstParagraph"/>
      </w:pPr>
      <w:r>
        <w:t xml:space="preserve">Job openings haven been increasing while hires had a brief rise in May, then decreased </w:t>
      </w:r>
      <w:proofErr w:type="gramStart"/>
      <w:r>
        <w:t>later on</w:t>
      </w:r>
      <w:proofErr w:type="gramEnd"/>
      <w:r>
        <w:t>, maintaining at a relatively stable level till now. That means</w:t>
      </w:r>
      <w:r w:rsidRPr="007A6002">
        <w:rPr>
          <w:color w:val="C00000"/>
        </w:rPr>
        <w:t xml:space="preserve">, employment recovery is </w:t>
      </w:r>
      <w:r w:rsidR="000C45BD" w:rsidRPr="007A6002">
        <w:rPr>
          <w:color w:val="C00000"/>
        </w:rPr>
        <w:t>slow,</w:t>
      </w:r>
      <w:r w:rsidRPr="007A6002">
        <w:rPr>
          <w:color w:val="C00000"/>
        </w:rPr>
        <w:t xml:space="preserve"> and many available jobs have been not filled. This is called tight labor market: low unemployment, plentiful jobs, high quits, scarce workers</w:t>
      </w:r>
      <w:r>
        <w:t>.</w:t>
      </w:r>
    </w:p>
    <w:bookmarkEnd w:id="1"/>
    <w:p w14:paraId="1E21089C" w14:textId="77777777" w:rsidR="007A6002" w:rsidRPr="007A6002" w:rsidRDefault="007A6002" w:rsidP="007A6002">
      <w:pPr>
        <w:pStyle w:val="BodyText"/>
      </w:pPr>
    </w:p>
    <w:p w14:paraId="04DCDCE1" w14:textId="77777777" w:rsidR="00AE1863" w:rsidRDefault="00F92352">
      <w:pPr>
        <w:pStyle w:val="FirstParagraph"/>
      </w:pPr>
      <w:r>
        <w:rPr>
          <w:noProof/>
        </w:rPr>
        <w:drawing>
          <wp:inline distT="0" distB="0" distL="0" distR="0" wp14:anchorId="50BBF963" wp14:editId="565B2627">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esig-US_files/figure-docx/unnamed-chunk-4-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C9A8C20" w14:textId="77777777" w:rsidR="00AE1863" w:rsidRDefault="00F92352">
      <w:pPr>
        <w:pStyle w:val="Heading2"/>
      </w:pPr>
      <w:bookmarkStart w:id="2" w:name="quits"/>
      <w:bookmarkEnd w:id="0"/>
      <w:r>
        <w:lastRenderedPageBreak/>
        <w:t>quits</w:t>
      </w:r>
    </w:p>
    <w:p w14:paraId="3FFE691D" w14:textId="77777777" w:rsidR="00AE1863" w:rsidRDefault="00F92352">
      <w:pPr>
        <w:pStyle w:val="Heading3"/>
      </w:pPr>
      <w:bookmarkStart w:id="3" w:name="quits-overall-level"/>
      <w:r>
        <w:t>quits overall level</w:t>
      </w:r>
    </w:p>
    <w:p w14:paraId="047DE907" w14:textId="5E5172D8" w:rsidR="00AE1863" w:rsidRDefault="00F92352" w:rsidP="007A6002">
      <w:pPr>
        <w:pStyle w:val="SourceCode"/>
        <w:rPr>
          <w:rStyle w:val="DocumentationTok"/>
        </w:rPr>
      </w:pPr>
      <w:r>
        <w:rPr>
          <w:rStyle w:val="DocumentationTok"/>
        </w:rPr>
        <w:t>## Quits and layoffs and discharges, total nonfarm, seasonally adjusted, December 2019–December 2021 (in thousands)</w:t>
      </w:r>
      <w:bookmarkStart w:id="4" w:name="plot"/>
    </w:p>
    <w:p w14:paraId="72818DDD" w14:textId="77777777" w:rsidR="007A6002" w:rsidRDefault="007A6002" w:rsidP="007A6002">
      <w:pPr>
        <w:pStyle w:val="Heading4"/>
      </w:pPr>
      <w:bookmarkStart w:id="5" w:name="comment-1"/>
      <w:r>
        <w:t>comment:</w:t>
      </w:r>
    </w:p>
    <w:p w14:paraId="6F2C3F82" w14:textId="77777777" w:rsidR="007A6002" w:rsidRDefault="007A6002" w:rsidP="007A6002">
      <w:pPr>
        <w:pStyle w:val="FirstParagraph"/>
      </w:pPr>
      <w:r>
        <w:t>the number of layoffs peaked in April 2020, whereas quits reached lowest at the same time. But later, the number of quits have been increasing while layoffs decreasing. That means more and more workers voluntarily left the workplace and a decreasing number of people have experienced involuntary leaving since May 2020. Till May 2022, this tendency has not changed much. Clearly, there is “great resignation” during recovery.</w:t>
      </w:r>
    </w:p>
    <w:bookmarkEnd w:id="5"/>
    <w:p w14:paraId="6D6176ED" w14:textId="77777777" w:rsidR="00AE1863" w:rsidRDefault="00F92352">
      <w:pPr>
        <w:pStyle w:val="FirstParagraph"/>
      </w:pPr>
      <w:r>
        <w:rPr>
          <w:noProof/>
        </w:rPr>
        <w:drawing>
          <wp:inline distT="0" distB="0" distL="0" distR="0" wp14:anchorId="01D3822F" wp14:editId="2A35FAA6">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esig-US_files/figure-docx/unnamed-chunk-6-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360DD08" w14:textId="67116047" w:rsidR="00AE1863" w:rsidRDefault="007A6002">
      <w:pPr>
        <w:pStyle w:val="Heading3"/>
      </w:pPr>
      <w:bookmarkStart w:id="6" w:name="quits-by-industry"/>
      <w:bookmarkEnd w:id="3"/>
      <w:bookmarkEnd w:id="4"/>
      <w:r>
        <w:t xml:space="preserve">Number of </w:t>
      </w:r>
      <w:r w:rsidR="00F92352">
        <w:t>quits by industry</w:t>
      </w:r>
    </w:p>
    <w:p w14:paraId="17B84551" w14:textId="186B7620" w:rsidR="007A6002" w:rsidRDefault="007A6002" w:rsidP="007A6002">
      <w:pPr>
        <w:pStyle w:val="BodyText"/>
      </w:pPr>
      <w:r>
        <w:t xml:space="preserve">comment: Noticeably, the number of quits almost in all industries (except mining and logging) drop to the lowest level in either April, May, or June 2020, but later peaked in the end of 2021 or the beginning of 2022. In general, </w:t>
      </w:r>
      <w:proofErr w:type="spellStart"/>
      <w:proofErr w:type="gramStart"/>
      <w:r>
        <w:t>trade.transportation</w:t>
      </w:r>
      <w:proofErr w:type="gramEnd"/>
      <w:r>
        <w:t>.utilities</w:t>
      </w:r>
      <w:proofErr w:type="spellEnd"/>
      <w:r>
        <w:t xml:space="preserve">, </w:t>
      </w:r>
      <w:proofErr w:type="spellStart"/>
      <w:r>
        <w:t>leisure.hospitality</w:t>
      </w:r>
      <w:proofErr w:type="spellEnd"/>
      <w:r>
        <w:t>, professional activities, education and health services experienced a very large number of quits during recovery.</w:t>
      </w:r>
    </w:p>
    <w:p w14:paraId="49608AC3" w14:textId="77777777" w:rsidR="007A6002" w:rsidRPr="007A6002" w:rsidRDefault="007A6002" w:rsidP="007A6002">
      <w:pPr>
        <w:pStyle w:val="BodyText"/>
      </w:pPr>
    </w:p>
    <w:p w14:paraId="18D6103D" w14:textId="77777777" w:rsidR="00AE1863" w:rsidRDefault="00F92352">
      <w:pPr>
        <w:pStyle w:val="FirstParagraph"/>
      </w:pPr>
      <w:bookmarkStart w:id="7" w:name="plot-1"/>
      <w:r>
        <w:rPr>
          <w:noProof/>
        </w:rPr>
        <w:lastRenderedPageBreak/>
        <w:drawing>
          <wp:inline distT="0" distB="0" distL="0" distR="0" wp14:anchorId="73DD8746" wp14:editId="149B7886">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esig-US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DBADD88" w14:textId="20A76820" w:rsidR="00AE1863" w:rsidRDefault="007A6002">
      <w:pPr>
        <w:pStyle w:val="Heading4"/>
      </w:pPr>
      <w:bookmarkStart w:id="8" w:name="plot-gusto"/>
      <w:bookmarkEnd w:id="7"/>
      <w:r>
        <w:t>Quit rate by gender, cite</w:t>
      </w:r>
      <w:r w:rsidR="00F92352">
        <w:t xml:space="preserve"> Gusto</w:t>
      </w:r>
    </w:p>
    <w:p w14:paraId="6F99F4B6" w14:textId="1E4E624C" w:rsidR="007A6002" w:rsidRPr="007A6002" w:rsidRDefault="007A6002" w:rsidP="007A6002">
      <w:pPr>
        <w:pStyle w:val="BodyText"/>
      </w:pPr>
      <w:r w:rsidRPr="007A6002">
        <w:t>https://gusto.com/company-news/a-real-time-look-at-the-great-resignation#Quits_by_Gender</w:t>
      </w:r>
    </w:p>
    <w:p w14:paraId="1FDD4F56" w14:textId="77777777" w:rsidR="00AE1863" w:rsidRDefault="00F92352">
      <w:pPr>
        <w:pStyle w:val="FirstParagraph"/>
      </w:pPr>
      <w:r>
        <w:rPr>
          <w:noProof/>
        </w:rPr>
        <w:lastRenderedPageBreak/>
        <w:drawing>
          <wp:inline distT="0" distB="0" distL="0" distR="0" wp14:anchorId="2B6B7C54" wp14:editId="558D7F93">
            <wp:extent cx="5334000" cy="3428217"/>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quits%20by%20gender.jpeg"/>
                    <pic:cNvPicPr>
                      <a:picLocks noChangeAspect="1" noChangeArrowheads="1"/>
                    </pic:cNvPicPr>
                  </pic:nvPicPr>
                  <pic:blipFill>
                    <a:blip r:embed="rId11"/>
                    <a:stretch>
                      <a:fillRect/>
                    </a:stretch>
                  </pic:blipFill>
                  <pic:spPr bwMode="auto">
                    <a:xfrm>
                      <a:off x="0" y="0"/>
                      <a:ext cx="5334000" cy="3428217"/>
                    </a:xfrm>
                    <a:prstGeom prst="rect">
                      <a:avLst/>
                    </a:prstGeom>
                    <a:noFill/>
                    <a:ln w="9525">
                      <a:noFill/>
                      <a:headEnd/>
                      <a:tailEnd/>
                    </a:ln>
                  </pic:spPr>
                </pic:pic>
              </a:graphicData>
            </a:graphic>
          </wp:inline>
        </w:drawing>
      </w:r>
    </w:p>
    <w:p w14:paraId="19A85FB1" w14:textId="48FFB1C2" w:rsidR="00AE1863" w:rsidRDefault="007A6002">
      <w:pPr>
        <w:pStyle w:val="Heading2"/>
      </w:pPr>
      <w:bookmarkStart w:id="9" w:name="hires-by-industry"/>
      <w:bookmarkEnd w:id="2"/>
      <w:bookmarkEnd w:id="6"/>
      <w:bookmarkEnd w:id="8"/>
      <w:r>
        <w:t xml:space="preserve">Number of </w:t>
      </w:r>
      <w:r w:rsidR="00F92352">
        <w:t>hires by industry</w:t>
      </w:r>
    </w:p>
    <w:p w14:paraId="6FEECF92" w14:textId="77777777" w:rsidR="007A6002" w:rsidRDefault="007A6002" w:rsidP="007A6002">
      <w:pPr>
        <w:pStyle w:val="Heading3"/>
      </w:pPr>
      <w:bookmarkStart w:id="10" w:name="comment-2"/>
      <w:r>
        <w:t>comment:</w:t>
      </w:r>
    </w:p>
    <w:p w14:paraId="379E0D0D" w14:textId="27211CDB" w:rsidR="007A6002" w:rsidRDefault="007A6002" w:rsidP="007A6002">
      <w:pPr>
        <w:pStyle w:val="FirstParagraph"/>
      </w:pPr>
      <w:r>
        <w:t xml:space="preserve">Except for mining, logging, and information, most industries increased the number of hires after the peak of pandemic (April 2020) in May, June, and July. </w:t>
      </w:r>
      <w:proofErr w:type="gramStart"/>
      <w:r>
        <w:t>In particular, leisure</w:t>
      </w:r>
      <w:proofErr w:type="gramEnd"/>
      <w:r>
        <w:t xml:space="preserve"> and hospitality were the highest but later they drop significantly. The change scale is the largest. The education and health services also experienced a large scale of reduction.</w:t>
      </w:r>
    </w:p>
    <w:bookmarkEnd w:id="10"/>
    <w:p w14:paraId="04C0B510" w14:textId="77777777" w:rsidR="007A6002" w:rsidRPr="007A6002" w:rsidRDefault="007A6002" w:rsidP="007A6002">
      <w:pPr>
        <w:pStyle w:val="BodyText"/>
      </w:pPr>
    </w:p>
    <w:p w14:paraId="2EC3C8EE" w14:textId="77777777" w:rsidR="00AE1863" w:rsidRDefault="00F92352">
      <w:pPr>
        <w:pStyle w:val="FirstParagraph"/>
      </w:pPr>
      <w:r>
        <w:rPr>
          <w:noProof/>
        </w:rPr>
        <w:lastRenderedPageBreak/>
        <w:drawing>
          <wp:inline distT="0" distB="0" distL="0" distR="0" wp14:anchorId="30641B2C" wp14:editId="0B7328A0">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resig-US_files/figure-docx/unnamed-chunk-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560E4359" w14:textId="77777777" w:rsidR="00AE1863" w:rsidRDefault="00F92352">
      <w:pPr>
        <w:pStyle w:val="Heading2"/>
      </w:pPr>
      <w:bookmarkStart w:id="11" w:name="X71a5c00de816b86077dc977f5d0f90761ef1266"/>
      <w:bookmarkEnd w:id="9"/>
      <w:r>
        <w:t>labor force participation rate by gender and race (&gt;16, unadjusted)</w:t>
      </w:r>
    </w:p>
    <w:p w14:paraId="7C3AA3DE" w14:textId="4DA22C81" w:rsidR="00AE1863" w:rsidRDefault="00F92352">
      <w:pPr>
        <w:pStyle w:val="FirstParagraph"/>
      </w:pPr>
      <w:r>
        <w:t xml:space="preserve">only black and white groups have seasonally adjusted data. </w:t>
      </w:r>
      <w:proofErr w:type="gramStart"/>
      <w:r>
        <w:t>So</w:t>
      </w:r>
      <w:proofErr w:type="gramEnd"/>
      <w:r>
        <w:t xml:space="preserve"> in order </w:t>
      </w:r>
      <w:r w:rsidR="007A6002">
        <w:t xml:space="preserve">to </w:t>
      </w:r>
      <w:r>
        <w:t xml:space="preserve">keep </w:t>
      </w:r>
      <w:r w:rsidR="007A6002">
        <w:t xml:space="preserve">data </w:t>
      </w:r>
      <w:r>
        <w:t>consistent, I choose unadjusted data.</w:t>
      </w:r>
    </w:p>
    <w:p w14:paraId="61923A83" w14:textId="4754599B" w:rsidR="007A6002" w:rsidRDefault="007A6002" w:rsidP="007A6002">
      <w:pPr>
        <w:pStyle w:val="BodyText"/>
      </w:pPr>
      <w:r>
        <w:t>Comment:</w:t>
      </w:r>
    </w:p>
    <w:p w14:paraId="0231102B" w14:textId="77777777" w:rsidR="007A6002" w:rsidRDefault="007A6002" w:rsidP="007A6002">
      <w:pPr>
        <w:pStyle w:val="FirstParagraph"/>
      </w:pPr>
      <w:r w:rsidRPr="007A6002">
        <w:rPr>
          <w:color w:val="C00000"/>
        </w:rPr>
        <w:t xml:space="preserve">Age 16 and over </w:t>
      </w:r>
      <w:r>
        <w:t>population’s labor force participation rate shows a significant gender difference but not much expected ethnic difference.</w:t>
      </w:r>
    </w:p>
    <w:p w14:paraId="09FE773D" w14:textId="77777777" w:rsidR="007A6002" w:rsidRPr="007A6002" w:rsidRDefault="007A6002" w:rsidP="007A6002">
      <w:pPr>
        <w:pStyle w:val="BodyText"/>
      </w:pPr>
    </w:p>
    <w:p w14:paraId="5EC80E05" w14:textId="77777777" w:rsidR="00AE1863" w:rsidRDefault="00F92352">
      <w:pPr>
        <w:pStyle w:val="FirstParagraph"/>
      </w:pPr>
      <w:r>
        <w:rPr>
          <w:noProof/>
        </w:rPr>
        <w:lastRenderedPageBreak/>
        <w:drawing>
          <wp:inline distT="0" distB="0" distL="0" distR="0" wp14:anchorId="5BEA3A18" wp14:editId="43C39EDC">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esig-US_files/figure-docx/unnamed-chunk-26-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3BCEBCC5" w14:textId="28A7DF77" w:rsidR="00AE1863" w:rsidRDefault="00F92352">
      <w:pPr>
        <w:pStyle w:val="Heading3"/>
      </w:pPr>
      <w:bookmarkStart w:id="12" w:name="comment-3"/>
      <w:r>
        <w:t>comment:</w:t>
      </w:r>
    </w:p>
    <w:p w14:paraId="3F7ACFE4" w14:textId="77777777" w:rsidR="007A6002" w:rsidRPr="007A6002" w:rsidRDefault="007A6002" w:rsidP="007A6002">
      <w:pPr>
        <w:pStyle w:val="BodyText"/>
        <w:rPr>
          <w:color w:val="C00000"/>
        </w:rPr>
      </w:pPr>
      <w:r w:rsidRPr="007A6002">
        <w:rPr>
          <w:color w:val="C00000"/>
        </w:rPr>
        <w:t>Other age 25-54</w:t>
      </w:r>
    </w:p>
    <w:p w14:paraId="02B2B3C1" w14:textId="6830AD43" w:rsidR="007A6002" w:rsidRDefault="00F92352">
      <w:pPr>
        <w:pStyle w:val="BodyText"/>
      </w:pPr>
      <w:r>
        <w:t xml:space="preserve">25-54 prime working-age population </w:t>
      </w:r>
      <w:proofErr w:type="spellStart"/>
      <w:r>
        <w:t>lfpr</w:t>
      </w:r>
      <w:r w:rsidR="007A6002">
        <w:t>s</w:t>
      </w:r>
      <w:proofErr w:type="spellEnd"/>
      <w:r>
        <w:t xml:space="preserve"> (the core of the US workforce), men’s lbfr is very similar except </w:t>
      </w:r>
      <w:r w:rsidR="007A6002">
        <w:t xml:space="preserve">that </w:t>
      </w:r>
      <w:r>
        <w:t xml:space="preserve">black men’s </w:t>
      </w:r>
      <w:proofErr w:type="spellStart"/>
      <w:r>
        <w:t>lbfr</w:t>
      </w:r>
      <w:proofErr w:type="spellEnd"/>
      <w:r>
        <w:t xml:space="preserve"> is the lowest. Black women </w:t>
      </w:r>
      <w:proofErr w:type="spellStart"/>
      <w:r>
        <w:t>lbfr</w:t>
      </w:r>
      <w:proofErr w:type="spellEnd"/>
      <w:r>
        <w:t xml:space="preserve"> is the highest, white women is slightly lower, but </w:t>
      </w:r>
      <w:r w:rsidR="007A6002">
        <w:t xml:space="preserve">they are </w:t>
      </w:r>
      <w:proofErr w:type="gramStart"/>
      <w:r>
        <w:t>pretty close</w:t>
      </w:r>
      <w:proofErr w:type="gramEnd"/>
      <w:r>
        <w:t xml:space="preserve">. These two goups’ lbfrs are much higher than other female groups. </w:t>
      </w:r>
    </w:p>
    <w:p w14:paraId="2DB1886E" w14:textId="77777777" w:rsidR="00AE1863" w:rsidRDefault="00F92352">
      <w:pPr>
        <w:pStyle w:val="FirstParagraph"/>
      </w:pPr>
      <w:r>
        <w:rPr>
          <w:noProof/>
        </w:rPr>
        <w:lastRenderedPageBreak/>
        <w:drawing>
          <wp:inline distT="0" distB="0" distL="0" distR="0" wp14:anchorId="42B2263A" wp14:editId="477163C6">
            <wp:extent cx="5334000" cy="5243313"/>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25-54lfpr.png"/>
                    <pic:cNvPicPr>
                      <a:picLocks noChangeAspect="1" noChangeArrowheads="1"/>
                    </pic:cNvPicPr>
                  </pic:nvPicPr>
                  <pic:blipFill>
                    <a:blip r:embed="rId14"/>
                    <a:stretch>
                      <a:fillRect/>
                    </a:stretch>
                  </pic:blipFill>
                  <pic:spPr bwMode="auto">
                    <a:xfrm>
                      <a:off x="0" y="0"/>
                      <a:ext cx="5334000" cy="5243313"/>
                    </a:xfrm>
                    <a:prstGeom prst="rect">
                      <a:avLst/>
                    </a:prstGeom>
                    <a:noFill/>
                    <a:ln w="9525">
                      <a:noFill/>
                      <a:headEnd/>
                      <a:tailEnd/>
                    </a:ln>
                  </pic:spPr>
                </pic:pic>
              </a:graphicData>
            </a:graphic>
          </wp:inline>
        </w:drawing>
      </w:r>
    </w:p>
    <w:p w14:paraId="0ECBB02B" w14:textId="7272C730" w:rsidR="00AE1863" w:rsidRDefault="00F92352">
      <w:pPr>
        <w:pStyle w:val="Heading2"/>
      </w:pPr>
      <w:bookmarkStart w:id="13" w:name="employment-rate-16-unadjusted"/>
      <w:bookmarkEnd w:id="11"/>
      <w:bookmarkEnd w:id="12"/>
      <w:r>
        <w:t>employment rate (16+, unadjusted)</w:t>
      </w:r>
    </w:p>
    <w:p w14:paraId="026A25A0" w14:textId="77777777" w:rsidR="007A6002" w:rsidRDefault="007A6002" w:rsidP="007A6002">
      <w:pPr>
        <w:pStyle w:val="Heading3"/>
      </w:pPr>
      <w:bookmarkStart w:id="14" w:name="comment-4"/>
      <w:r>
        <w:t>comment:</w:t>
      </w:r>
    </w:p>
    <w:p w14:paraId="3D32123D" w14:textId="44F280F5" w:rsidR="007A6002" w:rsidRDefault="007A6002" w:rsidP="007A6002">
      <w:pPr>
        <w:pStyle w:val="FirstParagraph"/>
      </w:pPr>
      <w:r>
        <w:t>the employment rates of women in all ethical groups are lower than that of men. In recovery, Hispanic men’s employment rate is highest while black men’s rate is the lowest.</w:t>
      </w:r>
    </w:p>
    <w:bookmarkEnd w:id="14"/>
    <w:p w14:paraId="38507A21" w14:textId="77777777" w:rsidR="007A6002" w:rsidRPr="007A6002" w:rsidRDefault="007A6002" w:rsidP="007A6002">
      <w:pPr>
        <w:pStyle w:val="BodyText"/>
      </w:pPr>
    </w:p>
    <w:p w14:paraId="4FCEA0E7" w14:textId="77777777" w:rsidR="00AE1863" w:rsidRDefault="00F92352">
      <w:pPr>
        <w:pStyle w:val="FirstParagraph"/>
      </w:pPr>
      <w:r>
        <w:rPr>
          <w:noProof/>
        </w:rPr>
        <w:lastRenderedPageBreak/>
        <w:drawing>
          <wp:inline distT="0" distB="0" distL="0" distR="0" wp14:anchorId="640D8190" wp14:editId="75305AF5">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resig-US_files/figure-docx/unnamed-chunk-2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bookmarkEnd w:id="13"/>
    </w:p>
    <w:sectPr w:rsidR="00AE18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56874" w14:textId="77777777" w:rsidR="00764F11" w:rsidRDefault="00764F11">
      <w:pPr>
        <w:spacing w:after="0"/>
      </w:pPr>
      <w:r>
        <w:separator/>
      </w:r>
    </w:p>
  </w:endnote>
  <w:endnote w:type="continuationSeparator" w:id="0">
    <w:p w14:paraId="122A89FF" w14:textId="77777777" w:rsidR="00764F11" w:rsidRDefault="00764F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C7CB5" w14:textId="77777777" w:rsidR="00764F11" w:rsidRDefault="00764F11">
      <w:r>
        <w:separator/>
      </w:r>
    </w:p>
  </w:footnote>
  <w:footnote w:type="continuationSeparator" w:id="0">
    <w:p w14:paraId="5DF130C2" w14:textId="77777777" w:rsidR="00764F11" w:rsidRDefault="00764F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363B9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5214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863"/>
    <w:rsid w:val="000C45BD"/>
    <w:rsid w:val="005B099D"/>
    <w:rsid w:val="00764F11"/>
    <w:rsid w:val="007A6002"/>
    <w:rsid w:val="00AE1863"/>
    <w:rsid w:val="00AE6F09"/>
    <w:rsid w:val="00F9235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DCDEFB"/>
  <w15:docId w15:val="{66A90819-2D8D-984E-A2C7-12A52E30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bls.gov/jlt/jltdef.ht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499</Words>
  <Characters>2681</Characters>
  <Application>Microsoft Office Word</Application>
  <DocSecurity>0</DocSecurity>
  <Lines>35</Lines>
  <Paragraphs>5</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resignation pre</dc:title>
  <dc:creator>Sun, Xiao</dc:creator>
  <cp:keywords/>
  <cp:lastModifiedBy>Sun, Xiao</cp:lastModifiedBy>
  <cp:revision>5</cp:revision>
  <dcterms:created xsi:type="dcterms:W3CDTF">2022-08-23T22:29:00Z</dcterms:created>
  <dcterms:modified xsi:type="dcterms:W3CDTF">2022-10-27T17:17:00Z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2022-07-05</vt:lpwstr>
  </property>
  <property fmtid="{D5CDD505-2E9C-101B-9397-08002B2CF9AE}" pid="3" name="output">
    <vt:lpwstr/>
  </property>
</Properties>
</file>