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0D3B6E"/>
          <w:sz w:val="52"/>
          <w:szCs w:val="52"/>
        </w:rPr>
        <w:t xml:space="preserve">The Intelligent Future:</w:t>
      </w:r>
    </w:p>
    <w:p>
      <w:pPr>
        <w:spacing w:after="80"/>
        <w:jc w:val="center"/>
      </w:pPr>
      <w:r>
        <w:rPr>
          <w:rFonts w:ascii="Calibri" w:cs="Calibri" w:eastAsia="Calibri" w:hAnsi="Calibri"/>
          <w:color w:val="1976D2"/>
          <w:sz w:val="28"/>
          <w:szCs w:val="28"/>
        </w:rPr>
        <w:t xml:space="preserve">Deep Dive into AI, Machine Learning, NLP, Agents &amp; Policy</w:t>
      </w:r>
    </w:p>
    <w:p>
      <w:pPr>
        <w:spacing w:after="200"/>
        <w:jc w:val="center"/>
      </w:pPr>
      <w:r>
        <w:rPr>
          <w:rFonts w:ascii="Calibri" w:cs="Calibri" w:eastAsia="Calibri" w:hAnsi="Calibri"/>
          <w:i/>
          <w:iCs/>
          <w:color w:val="607D8B"/>
          <w:sz w:val="22"/>
          <w:szCs w:val="22"/>
        </w:rPr>
        <w:t xml:space="preserve">Strategic Intelligence Report  •  2025</w:t>
      </w:r>
    </w:p>
    <w:p>
      <w:pPr>
        <w:spacing w:after="120" w:line="300"/>
        <w:jc w:val="both"/>
      </w:pPr>
      <w:r>
        <w:rPr>
          <w:rFonts w:ascii="Calibri" w:cs="Calibri" w:eastAsia="Calibri" w:hAnsi="Calibri"/>
          <w:color w:val="1A1A2E"/>
          <w:sz w:val="21"/>
          <w:szCs w:val="21"/>
        </w:rPr>
        <w:t xml:space="preserve">The convergence of exponentially growing compute, vast data repositories, and algorithmic innovations has propelled artificial intelligence from a niche academic pursuit into the central technology of our era. This report examines the architectural underpinnings and real-world implications of AI sub-disciplines—from the statistical machinery of machine learning to the sociotechnical challenges of AI governance. Intended for practitioners, executives, and policy analysts, it synthesizes current research frontiers with strategic and regulatory context.</w:t>
      </w:r>
    </w:p>
    <w:p>
      <w:pPr>
        <w:spacing w:after="120"/>
      </w:pPr>
    </w:p>
    <w:p>
      <w:pPr>
        <w:pStyle w:val="Heading1"/>
        <w:pBdr>
          <w:bottom w:val="single" w:color="1565C0" w:sz="6" w:space="4"/>
        </w:pBdr>
        <w:spacing w:after="120" w:before="280"/>
      </w:pPr>
      <w:r>
        <w:rPr>
          <w:rFonts w:ascii="Calibri" w:cs="Calibri" w:eastAsia="Calibri" w:hAnsi="Calibri"/>
          <w:b/>
          <w:bCs/>
          <w:color w:val="0D3B6E"/>
          <w:sz w:val="32"/>
          <w:szCs w:val="32"/>
        </w:rPr>
        <w:t xml:space="preserve">1. The Architecture of Modern Machine Learning</w:t>
      </w:r>
    </w:p>
    <w:p>
      <w:pPr>
        <w:spacing w:after="120" w:line="300"/>
        <w:jc w:val="both"/>
      </w:pPr>
      <w:r>
        <w:rPr>
          <w:rFonts w:ascii="Calibri" w:cs="Calibri" w:eastAsia="Calibri" w:hAnsi="Calibri"/>
          <w:color w:val="1A1A2E"/>
          <w:sz w:val="21"/>
          <w:szCs w:val="21"/>
        </w:rPr>
        <w:t xml:space="preserve">Modern machine learning has evolved from hand-crafted feature engineering toward end-to-end learned representations. Neural networks—arranged in deep hierarchies of non-linear transformations—learn to extract progressively abstract features from raw inputs. This representational power, combined with stochastic optimization techniques and large-scale data, underpins virtually every contemporary AI application.</w:t>
      </w:r>
    </w:p>
    <w:p>
      <w:pPr>
        <w:pStyle w:val="Heading2"/>
        <w:spacing w:after="80" w:before="200"/>
      </w:pPr>
      <w:r>
        <w:rPr>
          <w:rFonts w:ascii="Calibri" w:cs="Calibri" w:eastAsia="Calibri" w:hAnsi="Calibri"/>
          <w:b/>
          <w:bCs/>
          <w:color w:val="1565C0"/>
          <w:sz w:val="26"/>
          <w:szCs w:val="26"/>
        </w:rPr>
        <w:t xml:space="preserve">1.1 Deep Learning Paradigms</w:t>
      </w:r>
    </w:p>
    <w:p>
      <w:pPr>
        <w:spacing w:after="120" w:line="300"/>
        <w:jc w:val="both"/>
      </w:pPr>
      <w:r>
        <w:rPr>
          <w:rFonts w:ascii="Calibri" w:cs="Calibri" w:eastAsia="Calibri" w:hAnsi="Calibri"/>
          <w:color w:val="1A1A2E"/>
          <w:sz w:val="21"/>
          <w:szCs w:val="21"/>
        </w:rPr>
        <w:t xml:space="preserve">Feedforward networks learn mappings between fixed-dimensional inputs and outputs. Convolutional Neural Networks (CNNs) exploit spatial locality through parameter sharing, achieving state-of-the-art results in object detection (YOLO, DETR), medical imaging, and autonomous perception. Recurrent architectures (LSTMs, GRUs) model sequential dependencies but suffer from gradient degradation over long sequences—a limitation largely overcome by attention-based models. Graph Neural Networks (GNNs) operate on irregular graph-structured data, finding applications in molecular property prediction, knowledge graph reasoning, and social network analysis.</w:t>
      </w:r>
    </w:p>
    <w:p>
      <w:pPr>
        <w:pStyle w:val="Heading2"/>
        <w:spacing w:after="80" w:before="200"/>
      </w:pPr>
      <w:r>
        <w:rPr>
          <w:rFonts w:ascii="Calibri" w:cs="Calibri" w:eastAsia="Calibri" w:hAnsi="Calibri"/>
          <w:b/>
          <w:bCs/>
          <w:color w:val="1565C0"/>
          <w:sz w:val="26"/>
          <w:szCs w:val="26"/>
        </w:rPr>
        <w:t xml:space="preserve">1.2 Transfer Learning &amp; Foundation Models</w:t>
      </w:r>
    </w:p>
    <w:p>
      <w:pPr>
        <w:spacing w:after="120" w:line="300"/>
        <w:jc w:val="both"/>
      </w:pPr>
      <w:r>
        <w:rPr>
          <w:rFonts w:ascii="Calibri" w:cs="Calibri" w:eastAsia="Calibri" w:hAnsi="Calibri"/>
          <w:color w:val="1A1A2E"/>
          <w:sz w:val="21"/>
          <w:szCs w:val="21"/>
        </w:rPr>
        <w:t xml:space="preserve">Transfer learning leverages representations learned on large source tasks for efficient adaptation to resource-constrained target tasks. Foundation models—trained on internet-scale data via self-supervised objectives such as masked language modeling, next-token prediction, or contrastive learning—serve as versatile backbones. Fine-tuning with small labeled datasets yields performance that rivals task-specific models trained from scratch. Parameter-efficient fine-tuning methods (LoRA, Prefix Tuning, Adapter layers) reduce adaptation costs by updating only a small fraction of model weights, enabling deployment on commodity hardware.</w:t>
      </w:r>
    </w:p>
    <w:p>
      <w:pPr>
        <w:spacing w:after="120"/>
      </w:pPr>
    </w:p>
    <w:tbl>
      <w:tblPr>
        <w:tblW w:type="dxa" w:w="77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00"/>
        <w:gridCol w:w="100"/>
        <w:gridCol w:w="100"/>
      </w:tblGrid>
      <w:tr>
        <w:trPr>
          <w:tblHeader/>
        </w:trPr>
        <w:tc>
          <w:tcPr>
            <w:tcW w:type="dxa" w:w="2200"/>
            <w:tcBorders>
              <w:top w:val="single" w:color="0D3B6E" w:sz="1"/>
              <w:left w:val="single" w:color="0D3B6E" w:sz="1"/>
              <w:bottom w:val="single" w:color="0D3B6E" w:sz="1"/>
              <w:right w:val="single" w:color="0D3B6E" w:sz="1"/>
            </w:tcBorders>
            <w:shd w:fill="0D3B6E"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Paradigm</w:t>
            </w:r>
          </w:p>
        </w:tc>
        <w:tc>
          <w:tcPr>
            <w:tcW w:type="dxa" w:w="2800"/>
            <w:tcBorders>
              <w:top w:val="single" w:color="0D3B6E" w:sz="1"/>
              <w:left w:val="single" w:color="0D3B6E" w:sz="1"/>
              <w:bottom w:val="single" w:color="0D3B6E" w:sz="1"/>
              <w:right w:val="single" w:color="0D3B6E" w:sz="1"/>
            </w:tcBorders>
            <w:shd w:fill="0D3B6E"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Training Signal</w:t>
            </w:r>
          </w:p>
        </w:tc>
        <w:tc>
          <w:tcPr>
            <w:tcW w:type="dxa" w:w="2760"/>
            <w:tcBorders>
              <w:top w:val="single" w:color="0D3B6E" w:sz="1"/>
              <w:left w:val="single" w:color="0D3B6E" w:sz="1"/>
              <w:bottom w:val="single" w:color="0D3B6E" w:sz="1"/>
              <w:right w:val="single" w:color="0D3B6E" w:sz="1"/>
            </w:tcBorders>
            <w:shd w:fill="0D3B6E"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Representative Models</w:t>
            </w:r>
          </w:p>
        </w:tc>
      </w:tr>
      <w:tr>
        <w:tc>
          <w:tcPr>
            <w:tcW w:type="dxa" w:w="2200"/>
            <w:tcBorders>
              <w:top w:val="single" w:color="90CAF9" w:sz="1"/>
              <w:left w:val="single" w:color="90CAF9" w:sz="1"/>
              <w:bottom w:val="single" w:color="90CAF9" w:sz="1"/>
              <w:right w:val="single" w:color="90CAF9" w:sz="1"/>
            </w:tcBorders>
            <w:shd w:fill="F0F4F8" w:val="clear"/>
            <w:tcMar>
              <w:top w:type="dxa" w:w="70"/>
              <w:left w:type="dxa" w:w="120"/>
              <w:bottom w:type="dxa" w:w="70"/>
              <w:right w:type="dxa" w:w="120"/>
            </w:tcMar>
            <w:vAlign w:val="center"/>
          </w:tcPr>
          <w:p>
            <w:r>
              <w:rPr>
                <w:rFonts w:ascii="Calibri" w:cs="Calibri" w:eastAsia="Calibri" w:hAnsi="Calibri"/>
                <w:color w:val="1A1A2E"/>
                <w:sz w:val="19"/>
                <w:szCs w:val="19"/>
              </w:rPr>
              <w:t xml:space="preserve">Supervised</w:t>
            </w:r>
          </w:p>
        </w:tc>
        <w:tc>
          <w:tcPr>
            <w:tcW w:type="dxa" w:w="2800"/>
            <w:tcBorders>
              <w:top w:val="single" w:color="90CAF9" w:sz="1"/>
              <w:left w:val="single" w:color="90CAF9" w:sz="1"/>
              <w:bottom w:val="single" w:color="90CAF9" w:sz="1"/>
              <w:right w:val="single" w:color="90CAF9" w:sz="1"/>
            </w:tcBorders>
            <w:shd w:fill="F0F4F8" w:val="clear"/>
            <w:tcMar>
              <w:top w:type="dxa" w:w="70"/>
              <w:left w:type="dxa" w:w="120"/>
              <w:bottom w:type="dxa" w:w="70"/>
              <w:right w:type="dxa" w:w="120"/>
            </w:tcMar>
            <w:vAlign w:val="center"/>
          </w:tcPr>
          <w:p>
            <w:r>
              <w:rPr>
                <w:rFonts w:ascii="Calibri" w:cs="Calibri" w:eastAsia="Calibri" w:hAnsi="Calibri"/>
                <w:color w:val="1A1A2E"/>
                <w:sz w:val="19"/>
                <w:szCs w:val="19"/>
              </w:rPr>
              <w:t xml:space="preserve">Labeled input-output pairs</w:t>
            </w:r>
          </w:p>
        </w:tc>
        <w:tc>
          <w:tcPr>
            <w:tcW w:type="dxa" w:w="2760"/>
            <w:tcBorders>
              <w:top w:val="single" w:color="90CAF9" w:sz="1"/>
              <w:left w:val="single" w:color="90CAF9" w:sz="1"/>
              <w:bottom w:val="single" w:color="90CAF9" w:sz="1"/>
              <w:right w:val="single" w:color="90CAF9" w:sz="1"/>
            </w:tcBorders>
            <w:shd w:fill="F0F4F8" w:val="clear"/>
            <w:tcMar>
              <w:top w:type="dxa" w:w="70"/>
              <w:left w:type="dxa" w:w="120"/>
              <w:bottom w:type="dxa" w:w="70"/>
              <w:right w:type="dxa" w:w="120"/>
            </w:tcMar>
            <w:vAlign w:val="center"/>
          </w:tcPr>
          <w:p>
            <w:r>
              <w:rPr>
                <w:rFonts w:ascii="Calibri" w:cs="Calibri" w:eastAsia="Calibri" w:hAnsi="Calibri"/>
                <w:color w:val="1A1A2E"/>
                <w:sz w:val="19"/>
                <w:szCs w:val="19"/>
              </w:rPr>
              <w:t xml:space="preserve">ResNet, BERT, GPT-4</w:t>
            </w:r>
          </w:p>
        </w:tc>
      </w:tr>
      <w:tr>
        <w:tc>
          <w:tcPr>
            <w:tcW w:type="dxa" w:w="2200"/>
            <w:tcBorders>
              <w:top w:val="single" w:color="90CAF9" w:sz="1"/>
              <w:left w:val="single" w:color="90CAF9" w:sz="1"/>
              <w:bottom w:val="single" w:color="90CAF9" w:sz="1"/>
              <w:right w:val="single" w:color="90CAF9" w:sz="1"/>
            </w:tcBorders>
            <w:shd w:fill="FFFFFF" w:val="clear"/>
            <w:tcMar>
              <w:top w:type="dxa" w:w="70"/>
              <w:left w:type="dxa" w:w="120"/>
              <w:bottom w:type="dxa" w:w="70"/>
              <w:right w:type="dxa" w:w="120"/>
            </w:tcMar>
            <w:vAlign w:val="center"/>
          </w:tcPr>
          <w:p>
            <w:r>
              <w:rPr>
                <w:rFonts w:ascii="Calibri" w:cs="Calibri" w:eastAsia="Calibri" w:hAnsi="Calibri"/>
                <w:color w:val="1A1A2E"/>
                <w:sz w:val="19"/>
                <w:szCs w:val="19"/>
              </w:rPr>
              <w:t xml:space="preserve">Self-Supervised</w:t>
            </w:r>
          </w:p>
        </w:tc>
        <w:tc>
          <w:tcPr>
            <w:tcW w:type="dxa" w:w="2800"/>
            <w:tcBorders>
              <w:top w:val="single" w:color="90CAF9" w:sz="1"/>
              <w:left w:val="single" w:color="90CAF9" w:sz="1"/>
              <w:bottom w:val="single" w:color="90CAF9" w:sz="1"/>
              <w:right w:val="single" w:color="90CAF9" w:sz="1"/>
            </w:tcBorders>
            <w:shd w:fill="FFFFFF" w:val="clear"/>
            <w:tcMar>
              <w:top w:type="dxa" w:w="70"/>
              <w:left w:type="dxa" w:w="120"/>
              <w:bottom w:type="dxa" w:w="70"/>
              <w:right w:type="dxa" w:w="120"/>
            </w:tcMar>
            <w:vAlign w:val="center"/>
          </w:tcPr>
          <w:p>
            <w:r>
              <w:rPr>
                <w:rFonts w:ascii="Calibri" w:cs="Calibri" w:eastAsia="Calibri" w:hAnsi="Calibri"/>
                <w:color w:val="1A1A2E"/>
                <w:sz w:val="19"/>
                <w:szCs w:val="19"/>
              </w:rPr>
              <w:t xml:space="preserve">Unlabeled data w/ auxiliary tasks</w:t>
            </w:r>
          </w:p>
        </w:tc>
        <w:tc>
          <w:tcPr>
            <w:tcW w:type="dxa" w:w="2760"/>
            <w:tcBorders>
              <w:top w:val="single" w:color="90CAF9" w:sz="1"/>
              <w:left w:val="single" w:color="90CAF9" w:sz="1"/>
              <w:bottom w:val="single" w:color="90CAF9" w:sz="1"/>
              <w:right w:val="single" w:color="90CAF9" w:sz="1"/>
            </w:tcBorders>
            <w:shd w:fill="FFFFFF" w:val="clear"/>
            <w:tcMar>
              <w:top w:type="dxa" w:w="70"/>
              <w:left w:type="dxa" w:w="120"/>
              <w:bottom w:type="dxa" w:w="70"/>
              <w:right w:type="dxa" w:w="120"/>
            </w:tcMar>
            <w:vAlign w:val="center"/>
          </w:tcPr>
          <w:p>
            <w:r>
              <w:rPr>
                <w:rFonts w:ascii="Calibri" w:cs="Calibri" w:eastAsia="Calibri" w:hAnsi="Calibri"/>
                <w:color w:val="1A1A2E"/>
                <w:sz w:val="19"/>
                <w:szCs w:val="19"/>
              </w:rPr>
              <w:t xml:space="preserve">CLIP, MAE, DINOv2</w:t>
            </w:r>
          </w:p>
        </w:tc>
      </w:tr>
      <w:tr>
        <w:tc>
          <w:tcPr>
            <w:tcW w:type="dxa" w:w="2200"/>
            <w:tcBorders>
              <w:top w:val="single" w:color="90CAF9" w:sz="1"/>
              <w:left w:val="single" w:color="90CAF9" w:sz="1"/>
              <w:bottom w:val="single" w:color="90CAF9" w:sz="1"/>
              <w:right w:val="single" w:color="90CAF9" w:sz="1"/>
            </w:tcBorders>
            <w:shd w:fill="F0F4F8" w:val="clear"/>
            <w:tcMar>
              <w:top w:type="dxa" w:w="70"/>
              <w:left w:type="dxa" w:w="120"/>
              <w:bottom w:type="dxa" w:w="70"/>
              <w:right w:type="dxa" w:w="120"/>
            </w:tcMar>
            <w:vAlign w:val="center"/>
          </w:tcPr>
          <w:p>
            <w:r>
              <w:rPr>
                <w:rFonts w:ascii="Calibri" w:cs="Calibri" w:eastAsia="Calibri" w:hAnsi="Calibri"/>
                <w:color w:val="1A1A2E"/>
                <w:sz w:val="19"/>
                <w:szCs w:val="19"/>
              </w:rPr>
              <w:t xml:space="preserve">Reinforcement</w:t>
            </w:r>
          </w:p>
        </w:tc>
        <w:tc>
          <w:tcPr>
            <w:tcW w:type="dxa" w:w="2800"/>
            <w:tcBorders>
              <w:top w:val="single" w:color="90CAF9" w:sz="1"/>
              <w:left w:val="single" w:color="90CAF9" w:sz="1"/>
              <w:bottom w:val="single" w:color="90CAF9" w:sz="1"/>
              <w:right w:val="single" w:color="90CAF9" w:sz="1"/>
            </w:tcBorders>
            <w:shd w:fill="F0F4F8" w:val="clear"/>
            <w:tcMar>
              <w:top w:type="dxa" w:w="70"/>
              <w:left w:type="dxa" w:w="120"/>
              <w:bottom w:type="dxa" w:w="70"/>
              <w:right w:type="dxa" w:w="120"/>
            </w:tcMar>
            <w:vAlign w:val="center"/>
          </w:tcPr>
          <w:p>
            <w:r>
              <w:rPr>
                <w:rFonts w:ascii="Calibri" w:cs="Calibri" w:eastAsia="Calibri" w:hAnsi="Calibri"/>
                <w:color w:val="1A1A2E"/>
                <w:sz w:val="19"/>
                <w:szCs w:val="19"/>
              </w:rPr>
              <w:t xml:space="preserve">Reward from environment</w:t>
            </w:r>
          </w:p>
        </w:tc>
        <w:tc>
          <w:tcPr>
            <w:tcW w:type="dxa" w:w="2760"/>
            <w:tcBorders>
              <w:top w:val="single" w:color="90CAF9" w:sz="1"/>
              <w:left w:val="single" w:color="90CAF9" w:sz="1"/>
              <w:bottom w:val="single" w:color="90CAF9" w:sz="1"/>
              <w:right w:val="single" w:color="90CAF9" w:sz="1"/>
            </w:tcBorders>
            <w:shd w:fill="F0F4F8" w:val="clear"/>
            <w:tcMar>
              <w:top w:type="dxa" w:w="70"/>
              <w:left w:type="dxa" w:w="120"/>
              <w:bottom w:type="dxa" w:w="70"/>
              <w:right w:type="dxa" w:w="120"/>
            </w:tcMar>
            <w:vAlign w:val="center"/>
          </w:tcPr>
          <w:p>
            <w:r>
              <w:rPr>
                <w:rFonts w:ascii="Calibri" w:cs="Calibri" w:eastAsia="Calibri" w:hAnsi="Calibri"/>
                <w:color w:val="1A1A2E"/>
                <w:sz w:val="19"/>
                <w:szCs w:val="19"/>
              </w:rPr>
              <w:t xml:space="preserve">AlphaCode, OpenAI Five</w:t>
            </w:r>
          </w:p>
        </w:tc>
      </w:tr>
      <w:tr>
        <w:tc>
          <w:tcPr>
            <w:tcW w:type="dxa" w:w="2200"/>
            <w:tcBorders>
              <w:top w:val="single" w:color="90CAF9" w:sz="1"/>
              <w:left w:val="single" w:color="90CAF9" w:sz="1"/>
              <w:bottom w:val="single" w:color="90CAF9" w:sz="1"/>
              <w:right w:val="single" w:color="90CAF9" w:sz="1"/>
            </w:tcBorders>
            <w:shd w:fill="FFFFFF" w:val="clear"/>
            <w:tcMar>
              <w:top w:type="dxa" w:w="70"/>
              <w:left w:type="dxa" w:w="120"/>
              <w:bottom w:type="dxa" w:w="70"/>
              <w:right w:type="dxa" w:w="120"/>
            </w:tcMar>
            <w:vAlign w:val="center"/>
          </w:tcPr>
          <w:p>
            <w:r>
              <w:rPr>
                <w:rFonts w:ascii="Calibri" w:cs="Calibri" w:eastAsia="Calibri" w:hAnsi="Calibri"/>
                <w:color w:val="1A1A2E"/>
                <w:sz w:val="19"/>
                <w:szCs w:val="19"/>
              </w:rPr>
              <w:t xml:space="preserve">Few-Shot / Zero-Shot</w:t>
            </w:r>
          </w:p>
        </w:tc>
        <w:tc>
          <w:tcPr>
            <w:tcW w:type="dxa" w:w="2800"/>
            <w:tcBorders>
              <w:top w:val="single" w:color="90CAF9" w:sz="1"/>
              <w:left w:val="single" w:color="90CAF9" w:sz="1"/>
              <w:bottom w:val="single" w:color="90CAF9" w:sz="1"/>
              <w:right w:val="single" w:color="90CAF9" w:sz="1"/>
            </w:tcBorders>
            <w:shd w:fill="FFFFFF" w:val="clear"/>
            <w:tcMar>
              <w:top w:type="dxa" w:w="70"/>
              <w:left w:type="dxa" w:w="120"/>
              <w:bottom w:type="dxa" w:w="70"/>
              <w:right w:type="dxa" w:w="120"/>
            </w:tcMar>
            <w:vAlign w:val="center"/>
          </w:tcPr>
          <w:p>
            <w:r>
              <w:rPr>
                <w:rFonts w:ascii="Calibri" w:cs="Calibri" w:eastAsia="Calibri" w:hAnsi="Calibri"/>
                <w:color w:val="1A1A2E"/>
                <w:sz w:val="19"/>
                <w:szCs w:val="19"/>
              </w:rPr>
              <w:t xml:space="preserve">In-context demonstration</w:t>
            </w:r>
          </w:p>
        </w:tc>
        <w:tc>
          <w:tcPr>
            <w:tcW w:type="dxa" w:w="2760"/>
            <w:tcBorders>
              <w:top w:val="single" w:color="90CAF9" w:sz="1"/>
              <w:left w:val="single" w:color="90CAF9" w:sz="1"/>
              <w:bottom w:val="single" w:color="90CAF9" w:sz="1"/>
              <w:right w:val="single" w:color="90CAF9" w:sz="1"/>
            </w:tcBorders>
            <w:shd w:fill="FFFFFF" w:val="clear"/>
            <w:tcMar>
              <w:top w:type="dxa" w:w="70"/>
              <w:left w:type="dxa" w:w="120"/>
              <w:bottom w:type="dxa" w:w="70"/>
              <w:right w:type="dxa" w:w="120"/>
            </w:tcMar>
            <w:vAlign w:val="center"/>
          </w:tcPr>
          <w:p>
            <w:r>
              <w:rPr>
                <w:rFonts w:ascii="Calibri" w:cs="Calibri" w:eastAsia="Calibri" w:hAnsi="Calibri"/>
                <w:color w:val="1A1A2E"/>
                <w:sz w:val="19"/>
                <w:szCs w:val="19"/>
              </w:rPr>
              <w:t xml:space="preserve">GPT-4o, Claude 3 Opus</w:t>
            </w:r>
          </w:p>
        </w:tc>
      </w:tr>
    </w:tbl>
    <w:p>
      <w:pPr>
        <w:spacing w:after="80"/>
      </w:pPr>
    </w:p>
    <w:p>
      <w:pPr>
        <w:pStyle w:val="Heading1"/>
        <w:pBdr>
          <w:bottom w:val="single" w:color="1565C0" w:sz="6" w:space="4"/>
        </w:pBdr>
        <w:spacing w:after="120" w:before="280"/>
      </w:pPr>
      <w:r>
        <w:rPr>
          <w:rFonts w:ascii="Calibri" w:cs="Calibri" w:eastAsia="Calibri" w:hAnsi="Calibri"/>
          <w:b/>
          <w:bCs/>
          <w:color w:val="0D3B6E"/>
          <w:sz w:val="32"/>
          <w:szCs w:val="32"/>
        </w:rPr>
        <w:t xml:space="preserve">2. Natural Language Processing: From Syntax to Semantics</w:t>
      </w:r>
    </w:p>
    <w:p>
      <w:pPr>
        <w:spacing w:after="120" w:line="300"/>
        <w:jc w:val="both"/>
      </w:pPr>
      <w:r>
        <w:rPr>
          <w:rFonts w:ascii="Calibri" w:cs="Calibri" w:eastAsia="Calibri" w:hAnsi="Calibri"/>
          <w:color w:val="1A1A2E"/>
          <w:sz w:val="21"/>
          <w:szCs w:val="21"/>
        </w:rPr>
        <w:t xml:space="preserve">Human language is simultaneously a rule-governed formal system and a context-sensitive, ambiguous medium shaped by pragmatic intent, cultural context, and shared world knowledge. NLP systems must navigate this duality—parsing grammatical structure while resolving referential ambiguity, idioms, and implicit presuppositions that human readers interpret effortlessly.</w:t>
      </w:r>
    </w:p>
    <w:p>
      <w:pPr>
        <w:pStyle w:val="Heading2"/>
        <w:spacing w:after="80" w:before="200"/>
      </w:pPr>
      <w:r>
        <w:rPr>
          <w:rFonts w:ascii="Calibri" w:cs="Calibri" w:eastAsia="Calibri" w:hAnsi="Calibri"/>
          <w:b/>
          <w:bCs/>
          <w:color w:val="1565C0"/>
          <w:sz w:val="26"/>
          <w:szCs w:val="26"/>
        </w:rPr>
        <w:t xml:space="preserve">2.1 Tokenization, Embeddings &amp; Contextualization</w:t>
      </w:r>
    </w:p>
    <w:p>
      <w:pPr>
        <w:spacing w:after="120" w:line="300"/>
        <w:jc w:val="both"/>
      </w:pPr>
      <w:r>
        <w:rPr>
          <w:rFonts w:ascii="Calibri" w:cs="Calibri" w:eastAsia="Calibri" w:hAnsi="Calibri"/>
          <w:color w:val="1A1A2E"/>
          <w:sz w:val="21"/>
          <w:szCs w:val="21"/>
        </w:rPr>
        <w:t xml:space="preserve">Modern NLP pipelines begin with tokenization—segmenting raw text into subword units (BPE, WordPiece, SentencePiece) that balance vocabulary coverage with sequence length. Static embeddings (Word2Vec, GloVe, FastText) map tokens to fixed vectors that conflate homonyms; contextual embeddings produced by transformer layers resolve this by conditioning token representations on surrounding context. Sentence encoders (SBERT, E5, BGE) produce fixed-length semantic vectors suitable for semantic search, clustering, and retrieval-augmented generation pipelines.</w:t>
      </w:r>
    </w:p>
    <w:p>
      <w:pPr>
        <w:pStyle w:val="Heading2"/>
        <w:spacing w:after="80" w:before="200"/>
      </w:pPr>
      <w:r>
        <w:rPr>
          <w:rFonts w:ascii="Calibri" w:cs="Calibri" w:eastAsia="Calibri" w:hAnsi="Calibri"/>
          <w:b/>
          <w:bCs/>
          <w:color w:val="1565C0"/>
          <w:sz w:val="26"/>
          <w:szCs w:val="26"/>
        </w:rPr>
        <w:t xml:space="preserve">2.2 Sequence-to-Sequence Tasks</w:t>
      </w:r>
    </w:p>
    <w:p>
      <w:pPr>
        <w:spacing w:after="120" w:line="300"/>
        <w:jc w:val="both"/>
      </w:pPr>
      <w:r>
        <w:rPr>
          <w:rFonts w:ascii="Calibri" w:cs="Calibri" w:eastAsia="Calibri" w:hAnsi="Calibri"/>
          <w:color w:val="1A1A2E"/>
          <w:sz w:val="21"/>
          <w:szCs w:val="21"/>
        </w:rPr>
        <w:t xml:space="preserve">Many NLP challenges reduce to generating an output sequence conditioned on an input sequence. Machine translation pairs encoder and decoder stacks with cross-attention, allowing the decoder to attend to source-language representations. Abstractive summarization models identify salient content and paraphrase it rather than extracting verbatim spans. Dialogue systems must additionally maintain conversational state across multiple turns—tracking entities, resolving coreferences, and modeling speaker intentions. Task-oriented dialogue systems (booking assistants, customer support bots) combine natural language understanding with structured state tracking and API integration.</w:t>
      </w:r>
    </w:p>
    <w:p>
      <w:pPr>
        <w:pBdr>
          <w:left w:val="single" w:color="1976D2" w:sz="12" w:space="8"/>
        </w:pBdr>
        <w:shd w:fill="DDEEFF" w:val="clear"/>
        <w:spacing w:after="140"/>
        <w:ind w:left="360" w:right="360"/>
      </w:pPr>
      <w:r>
        <w:rPr>
          <w:rFonts w:ascii="Calibri" w:cs="Calibri" w:eastAsia="Calibri" w:hAnsi="Calibri"/>
          <w:i/>
          <w:iCs/>
          <w:color w:val="0D3B6E"/>
          <w:sz w:val="20"/>
          <w:szCs w:val="20"/>
        </w:rPr>
        <w:t xml:space="preserve">Insight: Contemporary LLMs unify these tasks within a single generalist model through instruction tuning—training on hundreds of NLP tasks formatted as natural language prompts enables a single model to tackle translation, summarization, QA, and generation without task-specific architectural modifications.</w:t>
      </w:r>
    </w:p>
    <w:p>
      <w:pPr>
        <w:spacing w:after="80"/>
      </w:pPr>
    </w:p>
    <w:p>
      <w:r>
        <w:br w:type="page"/>
      </w:r>
    </w:p>
    <w:p>
      <w:pPr>
        <w:pStyle w:val="Heading1"/>
        <w:pBdr>
          <w:bottom w:val="single" w:color="1565C0" w:sz="6" w:space="4"/>
        </w:pBdr>
        <w:spacing w:after="120" w:before="280"/>
      </w:pPr>
      <w:r>
        <w:rPr>
          <w:rFonts w:ascii="Calibri" w:cs="Calibri" w:eastAsia="Calibri" w:hAnsi="Calibri"/>
          <w:b/>
          <w:bCs/>
          <w:color w:val="0D3B6E"/>
          <w:sz w:val="32"/>
          <w:szCs w:val="32"/>
        </w:rPr>
        <w:t xml:space="preserve">3. Autonomous AI Agents: Perception, Reasoning &amp; Action</w:t>
      </w:r>
    </w:p>
    <w:p>
      <w:pPr>
        <w:spacing w:after="120" w:line="300"/>
        <w:jc w:val="both"/>
      </w:pPr>
      <w:r>
        <w:rPr>
          <w:rFonts w:ascii="Calibri" w:cs="Calibri" w:eastAsia="Calibri" w:hAnsi="Calibri"/>
          <w:color w:val="1A1A2E"/>
          <w:sz w:val="21"/>
          <w:szCs w:val="21"/>
        </w:rPr>
        <w:t xml:space="preserve">The transition from single-turn inference to persistent, goal-directed agency marks a qualitative shift in AI capability. Agents do not merely respond to queries; they decompose objectives, formulate plans, acquire information through tool use, execute actions in digital or physical environments, observe consequences, and iteratively refine their approach—exhibiting a form of computational executive function.</w:t>
      </w:r>
    </w:p>
    <w:p>
      <w:pPr>
        <w:pStyle w:val="Heading2"/>
        <w:spacing w:after="80" w:before="200"/>
      </w:pPr>
      <w:r>
        <w:rPr>
          <w:rFonts w:ascii="Calibri" w:cs="Calibri" w:eastAsia="Calibri" w:hAnsi="Calibri"/>
          <w:b/>
          <w:bCs/>
          <w:color w:val="1565C0"/>
          <w:sz w:val="26"/>
          <w:szCs w:val="26"/>
        </w:rPr>
        <w:t xml:space="preserve">3.1 Tool Use &amp; Environment Interaction</w:t>
      </w:r>
    </w:p>
    <w:p>
      <w:pPr>
        <w:spacing w:after="120" w:line="300"/>
        <w:jc w:val="both"/>
      </w:pPr>
      <w:r>
        <w:rPr>
          <w:rFonts w:ascii="Calibri" w:cs="Calibri" w:eastAsia="Calibri" w:hAnsi="Calibri"/>
          <w:color w:val="1A1A2E"/>
          <w:sz w:val="21"/>
          <w:szCs w:val="21"/>
        </w:rPr>
        <w:t xml:space="preserve">Tool-augmented language models call external functions—web search engines, code interpreters, databases, REST APIs, and robotic actuators—to overcome the information and action limitations of pure parametric knowledge. The function-calling paradigm, supported natively by OpenAI, Anthropic, and Google model APIs, allows structured extraction of tool invocation arguments from natural language instructions. Browser-use agents navigate graphical interfaces via screenshot-based vision-action loops, completing tasks like form submission, web research compilation, and UI testing without programmatic API access.</w:t>
      </w:r>
    </w:p>
    <w:p>
      <w:pPr>
        <w:pStyle w:val="Heading2"/>
        <w:spacing w:after="80" w:before="200"/>
      </w:pPr>
      <w:r>
        <w:rPr>
          <w:rFonts w:ascii="Calibri" w:cs="Calibri" w:eastAsia="Calibri" w:hAnsi="Calibri"/>
          <w:b/>
          <w:bCs/>
          <w:color w:val="1565C0"/>
          <w:sz w:val="26"/>
          <w:szCs w:val="26"/>
        </w:rPr>
        <w:t xml:space="preserve">3.2 Multi-Agent Systems &amp; Collaboration</w:t>
      </w:r>
    </w:p>
    <w:p>
      <w:pPr>
        <w:spacing w:after="120" w:line="300"/>
        <w:jc w:val="both"/>
      </w:pPr>
      <w:r>
        <w:rPr>
          <w:rFonts w:ascii="Calibri" w:cs="Calibri" w:eastAsia="Calibri" w:hAnsi="Calibri"/>
          <w:color w:val="1A1A2E"/>
          <w:sz w:val="21"/>
          <w:szCs w:val="21"/>
        </w:rPr>
        <w:t xml:space="preserve">Complex tasks benefit from multi-agent architectures in which specialized sub-agents collaborate under an orchestrator. A researcher agent may gather and synthesize information; a critic agent evaluates proposed solutions; a coder agent implements and tests software; and a communication agent drafts stakeholder-facing outputs. Role specialization improves reliability by preventing individual agents from context-overloading, while structured inter-agent communication protocols (message-passing, shared memory boards) coordinate distributed execution. Emergent agent behaviors—negotiation, peer review, and self-correction—arise from these interaction dynamics.</w:t>
      </w:r>
    </w:p>
    <w:p>
      <w:pPr>
        <w:pStyle w:val="Heading2"/>
        <w:spacing w:after="80" w:before="200"/>
      </w:pPr>
      <w:r>
        <w:rPr>
          <w:rFonts w:ascii="Calibri" w:cs="Calibri" w:eastAsia="Calibri" w:hAnsi="Calibri"/>
          <w:b/>
          <w:bCs/>
          <w:color w:val="1565C0"/>
          <w:sz w:val="26"/>
          <w:szCs w:val="26"/>
        </w:rPr>
        <w:t xml:space="preserve">3.3 Agent Evaluation &amp; Benchmarks</w:t>
      </w:r>
    </w:p>
    <w:p>
      <w:pPr>
        <w:spacing w:after="120"/>
      </w:pPr>
    </w:p>
    <w:tbl>
      <w:tblPr>
        <w:tblW w:type="dxa" w:w="77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00"/>
        <w:gridCol w:w="100"/>
        <w:gridCol w:w="100"/>
      </w:tblGrid>
      <w:tr>
        <w:trPr>
          <w:tblHeader/>
        </w:trPr>
        <w:tc>
          <w:tcPr>
            <w:tcW w:type="dxa" w:w="2200"/>
            <w:tcBorders>
              <w:top w:val="single" w:color="0D3B6E" w:sz="1"/>
              <w:left w:val="single" w:color="0D3B6E" w:sz="1"/>
              <w:bottom w:val="single" w:color="0D3B6E" w:sz="1"/>
              <w:right w:val="single" w:color="0D3B6E" w:sz="1"/>
            </w:tcBorders>
            <w:shd w:fill="0D3B6E"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Benchmark</w:t>
            </w:r>
          </w:p>
        </w:tc>
        <w:tc>
          <w:tcPr>
            <w:tcW w:type="dxa" w:w="3000"/>
            <w:tcBorders>
              <w:top w:val="single" w:color="0D3B6E" w:sz="1"/>
              <w:left w:val="single" w:color="0D3B6E" w:sz="1"/>
              <w:bottom w:val="single" w:color="0D3B6E" w:sz="1"/>
              <w:right w:val="single" w:color="0D3B6E" w:sz="1"/>
            </w:tcBorders>
            <w:shd w:fill="0D3B6E"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Scope</w:t>
            </w:r>
          </w:p>
        </w:tc>
        <w:tc>
          <w:tcPr>
            <w:tcW w:type="dxa" w:w="2560"/>
            <w:tcBorders>
              <w:top w:val="single" w:color="0D3B6E" w:sz="1"/>
              <w:left w:val="single" w:color="0D3B6E" w:sz="1"/>
              <w:bottom w:val="single" w:color="0D3B6E" w:sz="1"/>
              <w:right w:val="single" w:color="0D3B6E" w:sz="1"/>
            </w:tcBorders>
            <w:shd w:fill="0D3B6E"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Leading Score (2025)</w:t>
            </w:r>
          </w:p>
        </w:tc>
      </w:tr>
      <w:tr>
        <w:tc>
          <w:tcPr>
            <w:tcW w:type="dxa" w:w="2200"/>
            <w:tcBorders>
              <w:top w:val="single" w:color="90CAF9" w:sz="1"/>
              <w:left w:val="single" w:color="90CAF9" w:sz="1"/>
              <w:bottom w:val="single" w:color="90CAF9" w:sz="1"/>
              <w:right w:val="single" w:color="90CAF9" w:sz="1"/>
            </w:tcBorders>
            <w:shd w:fill="F0F4F8" w:val="clear"/>
            <w:tcMar>
              <w:top w:type="dxa" w:w="70"/>
              <w:left w:type="dxa" w:w="120"/>
              <w:bottom w:type="dxa" w:w="70"/>
              <w:right w:type="dxa" w:w="120"/>
            </w:tcMar>
            <w:vAlign w:val="center"/>
          </w:tcPr>
          <w:p>
            <w:r>
              <w:rPr>
                <w:rFonts w:ascii="Calibri" w:cs="Calibri" w:eastAsia="Calibri" w:hAnsi="Calibri"/>
                <w:color w:val="1A1A2E"/>
                <w:sz w:val="19"/>
                <w:szCs w:val="19"/>
              </w:rPr>
              <w:t xml:space="preserve">SWE-bench</w:t>
            </w:r>
          </w:p>
        </w:tc>
        <w:tc>
          <w:tcPr>
            <w:tcW w:type="dxa" w:w="3000"/>
            <w:tcBorders>
              <w:top w:val="single" w:color="90CAF9" w:sz="1"/>
              <w:left w:val="single" w:color="90CAF9" w:sz="1"/>
              <w:bottom w:val="single" w:color="90CAF9" w:sz="1"/>
              <w:right w:val="single" w:color="90CAF9" w:sz="1"/>
            </w:tcBorders>
            <w:shd w:fill="F0F4F8" w:val="clear"/>
            <w:tcMar>
              <w:top w:type="dxa" w:w="70"/>
              <w:left w:type="dxa" w:w="120"/>
              <w:bottom w:type="dxa" w:w="70"/>
              <w:right w:type="dxa" w:w="120"/>
            </w:tcMar>
            <w:vAlign w:val="center"/>
          </w:tcPr>
          <w:p>
            <w:r>
              <w:rPr>
                <w:rFonts w:ascii="Calibri" w:cs="Calibri" w:eastAsia="Calibri" w:hAnsi="Calibri"/>
                <w:color w:val="1A1A2E"/>
                <w:sz w:val="19"/>
                <w:szCs w:val="19"/>
              </w:rPr>
              <w:t xml:space="preserve">Real GitHub issue resolution</w:t>
            </w:r>
          </w:p>
        </w:tc>
        <w:tc>
          <w:tcPr>
            <w:tcW w:type="dxa" w:w="2560"/>
            <w:tcBorders>
              <w:top w:val="single" w:color="90CAF9" w:sz="1"/>
              <w:left w:val="single" w:color="90CAF9" w:sz="1"/>
              <w:bottom w:val="single" w:color="90CAF9" w:sz="1"/>
              <w:right w:val="single" w:color="90CAF9" w:sz="1"/>
            </w:tcBorders>
            <w:shd w:fill="F0F4F8" w:val="clear"/>
            <w:tcMar>
              <w:top w:type="dxa" w:w="70"/>
              <w:left w:type="dxa" w:w="120"/>
              <w:bottom w:type="dxa" w:w="70"/>
              <w:right w:type="dxa" w:w="120"/>
            </w:tcMar>
            <w:vAlign w:val="center"/>
          </w:tcPr>
          <w:p>
            <w:r>
              <w:rPr>
                <w:rFonts w:ascii="Calibri" w:cs="Calibri" w:eastAsia="Calibri" w:hAnsi="Calibri"/>
                <w:color w:val="1A1A2E"/>
                <w:sz w:val="19"/>
                <w:szCs w:val="19"/>
              </w:rPr>
              <w:t xml:space="preserve">~48% (top agents)</w:t>
            </w:r>
          </w:p>
        </w:tc>
      </w:tr>
      <w:tr>
        <w:tc>
          <w:tcPr>
            <w:tcW w:type="dxa" w:w="2200"/>
            <w:tcBorders>
              <w:top w:val="single" w:color="90CAF9" w:sz="1"/>
              <w:left w:val="single" w:color="90CAF9" w:sz="1"/>
              <w:bottom w:val="single" w:color="90CAF9" w:sz="1"/>
              <w:right w:val="single" w:color="90CAF9" w:sz="1"/>
            </w:tcBorders>
            <w:shd w:fill="FFFFFF" w:val="clear"/>
            <w:tcMar>
              <w:top w:type="dxa" w:w="70"/>
              <w:left w:type="dxa" w:w="120"/>
              <w:bottom w:type="dxa" w:w="70"/>
              <w:right w:type="dxa" w:w="120"/>
            </w:tcMar>
            <w:vAlign w:val="center"/>
          </w:tcPr>
          <w:p>
            <w:r>
              <w:rPr>
                <w:rFonts w:ascii="Calibri" w:cs="Calibri" w:eastAsia="Calibri" w:hAnsi="Calibri"/>
                <w:color w:val="1A1A2E"/>
                <w:sz w:val="19"/>
                <w:szCs w:val="19"/>
              </w:rPr>
              <w:t xml:space="preserve">WebArena</w:t>
            </w:r>
          </w:p>
        </w:tc>
        <w:tc>
          <w:tcPr>
            <w:tcW w:type="dxa" w:w="3000"/>
            <w:tcBorders>
              <w:top w:val="single" w:color="90CAF9" w:sz="1"/>
              <w:left w:val="single" w:color="90CAF9" w:sz="1"/>
              <w:bottom w:val="single" w:color="90CAF9" w:sz="1"/>
              <w:right w:val="single" w:color="90CAF9" w:sz="1"/>
            </w:tcBorders>
            <w:shd w:fill="FFFFFF" w:val="clear"/>
            <w:tcMar>
              <w:top w:type="dxa" w:w="70"/>
              <w:left w:type="dxa" w:w="120"/>
              <w:bottom w:type="dxa" w:w="70"/>
              <w:right w:type="dxa" w:w="120"/>
            </w:tcMar>
            <w:vAlign w:val="center"/>
          </w:tcPr>
          <w:p>
            <w:r>
              <w:rPr>
                <w:rFonts w:ascii="Calibri" w:cs="Calibri" w:eastAsia="Calibri" w:hAnsi="Calibri"/>
                <w:color w:val="1A1A2E"/>
                <w:sz w:val="19"/>
                <w:szCs w:val="19"/>
              </w:rPr>
              <w:t xml:space="preserve">Autonomous web navigation</w:t>
            </w:r>
          </w:p>
        </w:tc>
        <w:tc>
          <w:tcPr>
            <w:tcW w:type="dxa" w:w="2560"/>
            <w:tcBorders>
              <w:top w:val="single" w:color="90CAF9" w:sz="1"/>
              <w:left w:val="single" w:color="90CAF9" w:sz="1"/>
              <w:bottom w:val="single" w:color="90CAF9" w:sz="1"/>
              <w:right w:val="single" w:color="90CAF9" w:sz="1"/>
            </w:tcBorders>
            <w:shd w:fill="FFFFFF" w:val="clear"/>
            <w:tcMar>
              <w:top w:type="dxa" w:w="70"/>
              <w:left w:type="dxa" w:w="120"/>
              <w:bottom w:type="dxa" w:w="70"/>
              <w:right w:type="dxa" w:w="120"/>
            </w:tcMar>
            <w:vAlign w:val="center"/>
          </w:tcPr>
          <w:p>
            <w:r>
              <w:rPr>
                <w:rFonts w:ascii="Calibri" w:cs="Calibri" w:eastAsia="Calibri" w:hAnsi="Calibri"/>
                <w:color w:val="1A1A2E"/>
                <w:sz w:val="19"/>
                <w:szCs w:val="19"/>
              </w:rPr>
              <w:t xml:space="preserve">~37% task success</w:t>
            </w:r>
          </w:p>
        </w:tc>
      </w:tr>
      <w:tr>
        <w:tc>
          <w:tcPr>
            <w:tcW w:type="dxa" w:w="2200"/>
            <w:tcBorders>
              <w:top w:val="single" w:color="90CAF9" w:sz="1"/>
              <w:left w:val="single" w:color="90CAF9" w:sz="1"/>
              <w:bottom w:val="single" w:color="90CAF9" w:sz="1"/>
              <w:right w:val="single" w:color="90CAF9" w:sz="1"/>
            </w:tcBorders>
            <w:shd w:fill="F0F4F8" w:val="clear"/>
            <w:tcMar>
              <w:top w:type="dxa" w:w="70"/>
              <w:left w:type="dxa" w:w="120"/>
              <w:bottom w:type="dxa" w:w="70"/>
              <w:right w:type="dxa" w:w="120"/>
            </w:tcMar>
            <w:vAlign w:val="center"/>
          </w:tcPr>
          <w:p>
            <w:r>
              <w:rPr>
                <w:rFonts w:ascii="Calibri" w:cs="Calibri" w:eastAsia="Calibri" w:hAnsi="Calibri"/>
                <w:color w:val="1A1A2E"/>
                <w:sz w:val="19"/>
                <w:szCs w:val="19"/>
              </w:rPr>
              <w:t xml:space="preserve">AgentBench</w:t>
            </w:r>
          </w:p>
        </w:tc>
        <w:tc>
          <w:tcPr>
            <w:tcW w:type="dxa" w:w="3000"/>
            <w:tcBorders>
              <w:top w:val="single" w:color="90CAF9" w:sz="1"/>
              <w:left w:val="single" w:color="90CAF9" w:sz="1"/>
              <w:bottom w:val="single" w:color="90CAF9" w:sz="1"/>
              <w:right w:val="single" w:color="90CAF9" w:sz="1"/>
            </w:tcBorders>
            <w:shd w:fill="F0F4F8" w:val="clear"/>
            <w:tcMar>
              <w:top w:type="dxa" w:w="70"/>
              <w:left w:type="dxa" w:w="120"/>
              <w:bottom w:type="dxa" w:w="70"/>
              <w:right w:type="dxa" w:w="120"/>
            </w:tcMar>
            <w:vAlign w:val="center"/>
          </w:tcPr>
          <w:p>
            <w:r>
              <w:rPr>
                <w:rFonts w:ascii="Calibri" w:cs="Calibri" w:eastAsia="Calibri" w:hAnsi="Calibri"/>
                <w:color w:val="1A1A2E"/>
                <w:sz w:val="19"/>
                <w:szCs w:val="19"/>
              </w:rPr>
              <w:t xml:space="preserve">Multi-domain agentic tasks</w:t>
            </w:r>
          </w:p>
        </w:tc>
        <w:tc>
          <w:tcPr>
            <w:tcW w:type="dxa" w:w="2560"/>
            <w:tcBorders>
              <w:top w:val="single" w:color="90CAF9" w:sz="1"/>
              <w:left w:val="single" w:color="90CAF9" w:sz="1"/>
              <w:bottom w:val="single" w:color="90CAF9" w:sz="1"/>
              <w:right w:val="single" w:color="90CAF9" w:sz="1"/>
            </w:tcBorders>
            <w:shd w:fill="F0F4F8" w:val="clear"/>
            <w:tcMar>
              <w:top w:type="dxa" w:w="70"/>
              <w:left w:type="dxa" w:w="120"/>
              <w:bottom w:type="dxa" w:w="70"/>
              <w:right w:type="dxa" w:w="120"/>
            </w:tcMar>
            <w:vAlign w:val="center"/>
          </w:tcPr>
          <w:p>
            <w:r>
              <w:rPr>
                <w:rFonts w:ascii="Calibri" w:cs="Calibri" w:eastAsia="Calibri" w:hAnsi="Calibri"/>
                <w:color w:val="1A1A2E"/>
                <w:sz w:val="19"/>
                <w:szCs w:val="19"/>
              </w:rPr>
              <w:t xml:space="preserve">~51% (GPT-4-level)</w:t>
            </w:r>
          </w:p>
        </w:tc>
      </w:tr>
      <w:tr>
        <w:tc>
          <w:tcPr>
            <w:tcW w:type="dxa" w:w="2200"/>
            <w:tcBorders>
              <w:top w:val="single" w:color="90CAF9" w:sz="1"/>
              <w:left w:val="single" w:color="90CAF9" w:sz="1"/>
              <w:bottom w:val="single" w:color="90CAF9" w:sz="1"/>
              <w:right w:val="single" w:color="90CAF9" w:sz="1"/>
            </w:tcBorders>
            <w:shd w:fill="FFFFFF" w:val="clear"/>
            <w:tcMar>
              <w:top w:type="dxa" w:w="70"/>
              <w:left w:type="dxa" w:w="120"/>
              <w:bottom w:type="dxa" w:w="70"/>
              <w:right w:type="dxa" w:w="120"/>
            </w:tcMar>
            <w:vAlign w:val="center"/>
          </w:tcPr>
          <w:p>
            <w:r>
              <w:rPr>
                <w:rFonts w:ascii="Calibri" w:cs="Calibri" w:eastAsia="Calibri" w:hAnsi="Calibri"/>
                <w:color w:val="1A1A2E"/>
                <w:sz w:val="19"/>
                <w:szCs w:val="19"/>
              </w:rPr>
              <w:t xml:space="preserve">GAIA</w:t>
            </w:r>
          </w:p>
        </w:tc>
        <w:tc>
          <w:tcPr>
            <w:tcW w:type="dxa" w:w="3000"/>
            <w:tcBorders>
              <w:top w:val="single" w:color="90CAF9" w:sz="1"/>
              <w:left w:val="single" w:color="90CAF9" w:sz="1"/>
              <w:bottom w:val="single" w:color="90CAF9" w:sz="1"/>
              <w:right w:val="single" w:color="90CAF9" w:sz="1"/>
            </w:tcBorders>
            <w:shd w:fill="FFFFFF" w:val="clear"/>
            <w:tcMar>
              <w:top w:type="dxa" w:w="70"/>
              <w:left w:type="dxa" w:w="120"/>
              <w:bottom w:type="dxa" w:w="70"/>
              <w:right w:type="dxa" w:w="120"/>
            </w:tcMar>
            <w:vAlign w:val="center"/>
          </w:tcPr>
          <w:p>
            <w:r>
              <w:rPr>
                <w:rFonts w:ascii="Calibri" w:cs="Calibri" w:eastAsia="Calibri" w:hAnsi="Calibri"/>
                <w:color w:val="1A1A2E"/>
                <w:sz w:val="19"/>
                <w:szCs w:val="19"/>
              </w:rPr>
              <w:t xml:space="preserve">Real-world question answering</w:t>
            </w:r>
          </w:p>
        </w:tc>
        <w:tc>
          <w:tcPr>
            <w:tcW w:type="dxa" w:w="2560"/>
            <w:tcBorders>
              <w:top w:val="single" w:color="90CAF9" w:sz="1"/>
              <w:left w:val="single" w:color="90CAF9" w:sz="1"/>
              <w:bottom w:val="single" w:color="90CAF9" w:sz="1"/>
              <w:right w:val="single" w:color="90CAF9" w:sz="1"/>
            </w:tcBorders>
            <w:shd w:fill="FFFFFF" w:val="clear"/>
            <w:tcMar>
              <w:top w:type="dxa" w:w="70"/>
              <w:left w:type="dxa" w:w="120"/>
              <w:bottom w:type="dxa" w:w="70"/>
              <w:right w:type="dxa" w:w="120"/>
            </w:tcMar>
            <w:vAlign w:val="center"/>
          </w:tcPr>
          <w:p>
            <w:r>
              <w:rPr>
                <w:rFonts w:ascii="Calibri" w:cs="Calibri" w:eastAsia="Calibri" w:hAnsi="Calibri"/>
                <w:color w:val="1A1A2E"/>
                <w:sz w:val="19"/>
                <w:szCs w:val="19"/>
              </w:rPr>
              <w:t xml:space="preserve">~67% (augmented LLMs)</w:t>
            </w:r>
          </w:p>
        </w:tc>
      </w:tr>
    </w:tbl>
    <w:p>
      <w:pPr>
        <w:spacing w:after="80"/>
      </w:pPr>
    </w:p>
    <w:p>
      <w:pPr>
        <w:pStyle w:val="Heading1"/>
        <w:pBdr>
          <w:bottom w:val="single" w:color="1565C0" w:sz="6" w:space="4"/>
        </w:pBdr>
        <w:spacing w:after="120" w:before="280"/>
      </w:pPr>
      <w:r>
        <w:rPr>
          <w:rFonts w:ascii="Calibri" w:cs="Calibri" w:eastAsia="Calibri" w:hAnsi="Calibri"/>
          <w:b/>
          <w:bCs/>
          <w:color w:val="0D3B6E"/>
          <w:sz w:val="32"/>
          <w:szCs w:val="32"/>
        </w:rPr>
        <w:t xml:space="preserve">4. Generative AI &amp; Multimodal Systems</w:t>
      </w:r>
    </w:p>
    <w:p>
      <w:pPr>
        <w:spacing w:after="120" w:line="300"/>
        <w:jc w:val="both"/>
      </w:pPr>
      <w:r>
        <w:rPr>
          <w:rFonts w:ascii="Calibri" w:cs="Calibri" w:eastAsia="Calibri" w:hAnsi="Calibri"/>
          <w:color w:val="1A1A2E"/>
          <w:sz w:val="21"/>
          <w:szCs w:val="21"/>
        </w:rPr>
        <w:t xml:space="preserve">Generative models have democratized content creation at an unprecedented scale, enabling individuals and organizations to produce high-fidelity text, imagery, audio, and video artifacts through natural language prompts. This capability brings transformative productivity gains alongside serious challenges related to authenticity, copyright, and misuse.</w:t>
      </w:r>
    </w:p>
    <w:p>
      <w:pPr>
        <w:pStyle w:val="Heading2"/>
        <w:spacing w:after="80" w:before="200"/>
      </w:pPr>
      <w:r>
        <w:rPr>
          <w:rFonts w:ascii="Calibri" w:cs="Calibri" w:eastAsia="Calibri" w:hAnsi="Calibri"/>
          <w:b/>
          <w:bCs/>
          <w:color w:val="1565C0"/>
          <w:sz w:val="26"/>
          <w:szCs w:val="26"/>
        </w:rPr>
        <w:t xml:space="preserve">4.1 Diffusion Models &amp; Image Synthesis</w:t>
      </w:r>
    </w:p>
    <w:p>
      <w:pPr>
        <w:spacing w:after="120" w:line="300"/>
        <w:jc w:val="both"/>
      </w:pPr>
      <w:r>
        <w:rPr>
          <w:rFonts w:ascii="Calibri" w:cs="Calibri" w:eastAsia="Calibri" w:hAnsi="Calibri"/>
          <w:color w:val="1A1A2E"/>
          <w:sz w:val="21"/>
          <w:szCs w:val="21"/>
        </w:rPr>
        <w:t xml:space="preserve">Score-based diffusion models define a forward process that gradually adds Gaussian noise to training images and learn a reverse denoising process parameterized by a neural network. Classifier-Free Guidance (CFG) allows text conditioning without a separate classifier, enabling prompt-driven generation. Latent diffusion models (the basis of Stable Diffusion) operate in a compressed latent space for efficiency. ControlNet and LoRA adaptations allow fine-grained control over composition, style, and subject identity. Text-to-3D and text-to-video models extend these principles to volumetric and temporal domains.</w:t>
      </w:r>
    </w:p>
    <w:p>
      <w:pPr>
        <w:pStyle w:val="Heading2"/>
        <w:spacing w:after="80" w:before="200"/>
      </w:pPr>
      <w:r>
        <w:rPr>
          <w:rFonts w:ascii="Calibri" w:cs="Calibri" w:eastAsia="Calibri" w:hAnsi="Calibri"/>
          <w:b/>
          <w:bCs/>
          <w:color w:val="1565C0"/>
          <w:sz w:val="26"/>
          <w:szCs w:val="26"/>
        </w:rPr>
        <w:t xml:space="preserve">4.2 Synthetic Media &amp; Authenticity Challenges</w:t>
      </w:r>
    </w:p>
    <w:p>
      <w:pPr>
        <w:spacing w:after="120" w:line="300"/>
        <w:jc w:val="both"/>
      </w:pPr>
      <w:r>
        <w:rPr>
          <w:rFonts w:ascii="Calibri" w:cs="Calibri" w:eastAsia="Calibri" w:hAnsi="Calibri"/>
          <w:color w:val="1A1A2E"/>
          <w:sz w:val="21"/>
          <w:szCs w:val="21"/>
        </w:rPr>
        <w:t xml:space="preserve">The proliferation of photorealistic synthetic media has intensified concerns about disinformation, identity fraud, and non-consensual intimate imagery. Detection approaches use frequency-domain artifacts, semantic inconsistencies, and provenance metadata; however, the arms race between generation and detection methods continually erodes detection reliability. Content provenance standards such as C2PA (Coalition for Content Provenance and Authenticity) embed cryptographically signed manifests in media files, allowing verification of origin and edit history. Platforms including Adobe, Microsoft, and Sony have adopted C2PA for camera and editing software outputs.</w:t>
      </w:r>
    </w:p>
    <w:p>
      <w:pPr>
        <w:spacing w:after="120"/>
      </w:pPr>
    </w:p>
    <w:p>
      <w:pPr>
        <w:pStyle w:val="Heading1"/>
        <w:pBdr>
          <w:bottom w:val="single" w:color="1565C0" w:sz="6" w:space="4"/>
        </w:pBdr>
        <w:spacing w:after="120" w:before="280"/>
      </w:pPr>
      <w:r>
        <w:rPr>
          <w:rFonts w:ascii="Calibri" w:cs="Calibri" w:eastAsia="Calibri" w:hAnsi="Calibri"/>
          <w:b/>
          <w:bCs/>
          <w:color w:val="0D3B6E"/>
          <w:sz w:val="32"/>
          <w:szCs w:val="32"/>
        </w:rPr>
        <w:t xml:space="preserve">5. AI Governance, Policy &amp; Responsible Deployment</w:t>
      </w:r>
    </w:p>
    <w:p>
      <w:pPr>
        <w:spacing w:after="120" w:line="300"/>
        <w:jc w:val="both"/>
      </w:pPr>
      <w:r>
        <w:rPr>
          <w:rFonts w:ascii="Calibri" w:cs="Calibri" w:eastAsia="Calibri" w:hAnsi="Calibri"/>
          <w:color w:val="1A1A2E"/>
          <w:sz w:val="21"/>
          <w:szCs w:val="21"/>
        </w:rPr>
        <w:t xml:space="preserve">Governance of artificial intelligence has matured from aspirational principles into binding legislation, international coordination mechanisms, and organizational risk management frameworks. The central policy challenge is to establish accountability for algorithmic harms while preserving the beneficial innovation potential of AI technologies.</w:t>
      </w:r>
    </w:p>
    <w:p>
      <w:pPr>
        <w:pStyle w:val="Heading2"/>
        <w:spacing w:after="80" w:before="200"/>
      </w:pPr>
      <w:r>
        <w:rPr>
          <w:rFonts w:ascii="Calibri" w:cs="Calibri" w:eastAsia="Calibri" w:hAnsi="Calibri"/>
          <w:b/>
          <w:bCs/>
          <w:color w:val="1565C0"/>
          <w:sz w:val="26"/>
          <w:szCs w:val="26"/>
        </w:rPr>
        <w:t xml:space="preserve">5.1 Risk-Based Regulatory Frameworks</w:t>
      </w:r>
    </w:p>
    <w:p>
      <w:pPr>
        <w:spacing w:after="120" w:line="300"/>
        <w:jc w:val="both"/>
      </w:pPr>
      <w:r>
        <w:rPr>
          <w:rFonts w:ascii="Calibri" w:cs="Calibri" w:eastAsia="Calibri" w:hAnsi="Calibri"/>
          <w:color w:val="1A1A2E"/>
          <w:sz w:val="21"/>
          <w:szCs w:val="21"/>
        </w:rPr>
        <w:t xml:space="preserve">The European Union's AI Act establishes a horizontal risk-tiering regime: prohibited systems (social scoring, real-time biometric surveillance in public spaces), high-risk systems (recruitment tools, credit scoring, medical devices, autonomous vehicles) subject to mandatory conformity assessments, and limited-risk and minimal-risk applications with lighter-touch transparency obligations. High-risk system providers must implement quality management systems, maintain technical documentation, conduct fundamental rights impact assessments, and register systems in a publicly accessible EU database before deployment. The Act introduces extraterritorial reach—any system placed on the EU market or affecting EU persons is covered, regardless of provider domicile.</w:t>
      </w:r>
    </w:p>
    <w:p>
      <w:pPr>
        <w:pStyle w:val="Heading2"/>
        <w:spacing w:after="80" w:before="200"/>
      </w:pPr>
      <w:r>
        <w:rPr>
          <w:rFonts w:ascii="Calibri" w:cs="Calibri" w:eastAsia="Calibri" w:hAnsi="Calibri"/>
          <w:b/>
          <w:bCs/>
          <w:color w:val="1565C0"/>
          <w:sz w:val="26"/>
          <w:szCs w:val="26"/>
        </w:rPr>
        <w:t xml:space="preserve">5.2 Organizational AI Risk Management</w:t>
      </w:r>
    </w:p>
    <w:p>
      <w:pPr>
        <w:spacing w:after="120" w:line="300"/>
        <w:jc w:val="both"/>
      </w:pPr>
      <w:r>
        <w:rPr>
          <w:rFonts w:ascii="Calibri" w:cs="Calibri" w:eastAsia="Calibri" w:hAnsi="Calibri"/>
          <w:color w:val="1A1A2E"/>
          <w:sz w:val="21"/>
          <w:szCs w:val="21"/>
        </w:rPr>
        <w:t xml:space="preserve">NIST's AI Risk Management Framework (AI RMF 1.0) offers a voluntary but widely adopted structure for organizational governance. The framework organizes around four core functions: GOVERN (establishing organizational accountability), MAP (contextualizing AI risk), MEASURE (analyzing and assessing identified risks), and MANAGE (prioritizing and treating risks). Organizations applying the AI RMF conduct impact assessments, establish model cards and datasheets for transparency, implement continuous monitoring pipelines, and designate AI risk ownership roles. ISO/IEC 42001, the international standard for AI management systems, provides complementary certification criteria.</w:t>
      </w:r>
    </w:p>
    <w:p>
      <w:pPr>
        <w:pStyle w:val="Heading2"/>
        <w:spacing w:after="80" w:before="200"/>
      </w:pPr>
      <w:r>
        <w:rPr>
          <w:rFonts w:ascii="Calibri" w:cs="Calibri" w:eastAsia="Calibri" w:hAnsi="Calibri"/>
          <w:b/>
          <w:bCs/>
          <w:color w:val="1565C0"/>
          <w:sz w:val="26"/>
          <w:szCs w:val="26"/>
        </w:rPr>
        <w:t xml:space="preserve">5.3 Frontier Model Safety &amp; Alignment</w:t>
      </w:r>
    </w:p>
    <w:p>
      <w:pPr>
        <w:spacing w:after="120" w:line="300"/>
        <w:jc w:val="both"/>
      </w:pPr>
      <w:r>
        <w:rPr>
          <w:rFonts w:ascii="Calibri" w:cs="Calibri" w:eastAsia="Calibri" w:hAnsi="Calibri"/>
          <w:color w:val="1A1A2E"/>
          <w:sz w:val="21"/>
          <w:szCs w:val="21"/>
        </w:rPr>
        <w:t xml:space="preserve">As frontier models approach and potentially exceed human expert performance on a growing range of cognitive tasks, alignment research—ensuring systems reliably pursue intended objectives—becomes existentially important. Scalable oversight techniques (debate, amplification) seek to maintain human supervisory capacity when models surpass human ability on subtasks. Interpretability research aims to map model internals to human-understandable concepts; sparse autoencoders and circuit analysis have revealed how factual associations, syntactic rules, and reasoning patterns are encoded. Red-teaming, adversarial probing, and automated jailbreak detection are now standard practice in responsible frontier model development.</w:t>
      </w:r>
    </w:p>
    <w:p>
      <w:pPr>
        <w:spacing w:after="80"/>
      </w:pPr>
    </w:p>
    <w:tbl>
      <w:tblPr>
        <w:tblW w:type="dxa" w:w="77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00"/>
        <w:gridCol w:w="100"/>
        <w:gridCol w:w="100"/>
      </w:tblGrid>
      <w:tr>
        <w:trPr>
          <w:tblHeader/>
        </w:trPr>
        <w:tc>
          <w:tcPr>
            <w:tcW w:type="dxa" w:w="1900"/>
            <w:tcBorders>
              <w:top w:val="single" w:color="0D3B6E" w:sz="1"/>
              <w:left w:val="single" w:color="0D3B6E" w:sz="1"/>
              <w:bottom w:val="single" w:color="0D3B6E" w:sz="1"/>
              <w:right w:val="single" w:color="0D3B6E" w:sz="1"/>
            </w:tcBorders>
            <w:shd w:fill="0D3B6E"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AI Principle</w:t>
            </w:r>
          </w:p>
        </w:tc>
        <w:tc>
          <w:tcPr>
            <w:tcW w:type="dxa" w:w="2800"/>
            <w:tcBorders>
              <w:top w:val="single" w:color="0D3B6E" w:sz="1"/>
              <w:left w:val="single" w:color="0D3B6E" w:sz="1"/>
              <w:bottom w:val="single" w:color="0D3B6E" w:sz="1"/>
              <w:right w:val="single" w:color="0D3B6E" w:sz="1"/>
            </w:tcBorders>
            <w:shd w:fill="0D3B6E"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Definition</w:t>
            </w:r>
          </w:p>
        </w:tc>
        <w:tc>
          <w:tcPr>
            <w:tcW w:type="dxa" w:w="3060"/>
            <w:tcBorders>
              <w:top w:val="single" w:color="0D3B6E" w:sz="1"/>
              <w:left w:val="single" w:color="0D3B6E" w:sz="1"/>
              <w:bottom w:val="single" w:color="0D3B6E" w:sz="1"/>
              <w:right w:val="single" w:color="0D3B6E" w:sz="1"/>
            </w:tcBorders>
            <w:shd w:fill="0D3B6E"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Measurement Approach</w:t>
            </w:r>
          </w:p>
        </w:tc>
      </w:tr>
      <w:tr>
        <w:tc>
          <w:tcPr>
            <w:tcW w:type="dxa" w:w="1900"/>
            <w:tcBorders>
              <w:top w:val="single" w:color="90CAF9" w:sz="1"/>
              <w:left w:val="single" w:color="90CAF9" w:sz="1"/>
              <w:bottom w:val="single" w:color="90CAF9" w:sz="1"/>
              <w:right w:val="single" w:color="90CAF9" w:sz="1"/>
            </w:tcBorders>
            <w:shd w:fill="F0F4F8" w:val="clear"/>
            <w:tcMar>
              <w:top w:type="dxa" w:w="70"/>
              <w:left w:type="dxa" w:w="120"/>
              <w:bottom w:type="dxa" w:w="70"/>
              <w:right w:type="dxa" w:w="120"/>
            </w:tcMar>
            <w:vAlign w:val="center"/>
          </w:tcPr>
          <w:p>
            <w:r>
              <w:rPr>
                <w:rFonts w:ascii="Calibri" w:cs="Calibri" w:eastAsia="Calibri" w:hAnsi="Calibri"/>
                <w:color w:val="1A1A2E"/>
                <w:sz w:val="19"/>
                <w:szCs w:val="19"/>
              </w:rPr>
              <w:t xml:space="preserve">Fairness</w:t>
            </w:r>
          </w:p>
        </w:tc>
        <w:tc>
          <w:tcPr>
            <w:tcW w:type="dxa" w:w="2800"/>
            <w:tcBorders>
              <w:top w:val="single" w:color="90CAF9" w:sz="1"/>
              <w:left w:val="single" w:color="90CAF9" w:sz="1"/>
              <w:bottom w:val="single" w:color="90CAF9" w:sz="1"/>
              <w:right w:val="single" w:color="90CAF9" w:sz="1"/>
            </w:tcBorders>
            <w:shd w:fill="F0F4F8" w:val="clear"/>
            <w:tcMar>
              <w:top w:type="dxa" w:w="70"/>
              <w:left w:type="dxa" w:w="120"/>
              <w:bottom w:type="dxa" w:w="70"/>
              <w:right w:type="dxa" w:w="120"/>
            </w:tcMar>
            <w:vAlign w:val="center"/>
          </w:tcPr>
          <w:p>
            <w:r>
              <w:rPr>
                <w:rFonts w:ascii="Calibri" w:cs="Calibri" w:eastAsia="Calibri" w:hAnsi="Calibri"/>
                <w:color w:val="1A1A2E"/>
                <w:sz w:val="19"/>
                <w:szCs w:val="19"/>
              </w:rPr>
              <w:t xml:space="preserve">Equitable outcomes across groups</w:t>
            </w:r>
          </w:p>
        </w:tc>
        <w:tc>
          <w:tcPr>
            <w:tcW w:type="dxa" w:w="3060"/>
            <w:tcBorders>
              <w:top w:val="single" w:color="90CAF9" w:sz="1"/>
              <w:left w:val="single" w:color="90CAF9" w:sz="1"/>
              <w:bottom w:val="single" w:color="90CAF9" w:sz="1"/>
              <w:right w:val="single" w:color="90CAF9" w:sz="1"/>
            </w:tcBorders>
            <w:shd w:fill="F0F4F8" w:val="clear"/>
            <w:tcMar>
              <w:top w:type="dxa" w:w="70"/>
              <w:left w:type="dxa" w:w="120"/>
              <w:bottom w:type="dxa" w:w="70"/>
              <w:right w:type="dxa" w:w="120"/>
            </w:tcMar>
            <w:vAlign w:val="center"/>
          </w:tcPr>
          <w:p>
            <w:r>
              <w:rPr>
                <w:rFonts w:ascii="Calibri" w:cs="Calibri" w:eastAsia="Calibri" w:hAnsi="Calibri"/>
                <w:color w:val="1A1A2E"/>
                <w:sz w:val="19"/>
                <w:szCs w:val="19"/>
              </w:rPr>
              <w:t xml:space="preserve">Disparate impact metrics, counterfactual fairness</w:t>
            </w:r>
          </w:p>
        </w:tc>
      </w:tr>
      <w:tr>
        <w:tc>
          <w:tcPr>
            <w:tcW w:type="dxa" w:w="1900"/>
            <w:tcBorders>
              <w:top w:val="single" w:color="90CAF9" w:sz="1"/>
              <w:left w:val="single" w:color="90CAF9" w:sz="1"/>
              <w:bottom w:val="single" w:color="90CAF9" w:sz="1"/>
              <w:right w:val="single" w:color="90CAF9" w:sz="1"/>
            </w:tcBorders>
            <w:shd w:fill="FFFFFF" w:val="clear"/>
            <w:tcMar>
              <w:top w:type="dxa" w:w="70"/>
              <w:left w:type="dxa" w:w="120"/>
              <w:bottom w:type="dxa" w:w="70"/>
              <w:right w:type="dxa" w:w="120"/>
            </w:tcMar>
            <w:vAlign w:val="center"/>
          </w:tcPr>
          <w:p>
            <w:r>
              <w:rPr>
                <w:rFonts w:ascii="Calibri" w:cs="Calibri" w:eastAsia="Calibri" w:hAnsi="Calibri"/>
                <w:color w:val="1A1A2E"/>
                <w:sz w:val="19"/>
                <w:szCs w:val="19"/>
              </w:rPr>
              <w:t xml:space="preserve">Transparency</w:t>
            </w:r>
          </w:p>
        </w:tc>
        <w:tc>
          <w:tcPr>
            <w:tcW w:type="dxa" w:w="2800"/>
            <w:tcBorders>
              <w:top w:val="single" w:color="90CAF9" w:sz="1"/>
              <w:left w:val="single" w:color="90CAF9" w:sz="1"/>
              <w:bottom w:val="single" w:color="90CAF9" w:sz="1"/>
              <w:right w:val="single" w:color="90CAF9" w:sz="1"/>
            </w:tcBorders>
            <w:shd w:fill="FFFFFF" w:val="clear"/>
            <w:tcMar>
              <w:top w:type="dxa" w:w="70"/>
              <w:left w:type="dxa" w:w="120"/>
              <w:bottom w:type="dxa" w:w="70"/>
              <w:right w:type="dxa" w:w="120"/>
            </w:tcMar>
            <w:vAlign w:val="center"/>
          </w:tcPr>
          <w:p>
            <w:r>
              <w:rPr>
                <w:rFonts w:ascii="Calibri" w:cs="Calibri" w:eastAsia="Calibri" w:hAnsi="Calibri"/>
                <w:color w:val="1A1A2E"/>
                <w:sz w:val="19"/>
                <w:szCs w:val="19"/>
              </w:rPr>
              <w:t xml:space="preserve">Intelligibility of decisions</w:t>
            </w:r>
          </w:p>
        </w:tc>
        <w:tc>
          <w:tcPr>
            <w:tcW w:type="dxa" w:w="3060"/>
            <w:tcBorders>
              <w:top w:val="single" w:color="90CAF9" w:sz="1"/>
              <w:left w:val="single" w:color="90CAF9" w:sz="1"/>
              <w:bottom w:val="single" w:color="90CAF9" w:sz="1"/>
              <w:right w:val="single" w:color="90CAF9" w:sz="1"/>
            </w:tcBorders>
            <w:shd w:fill="FFFFFF" w:val="clear"/>
            <w:tcMar>
              <w:top w:type="dxa" w:w="70"/>
              <w:left w:type="dxa" w:w="120"/>
              <w:bottom w:type="dxa" w:w="70"/>
              <w:right w:type="dxa" w:w="120"/>
            </w:tcMar>
            <w:vAlign w:val="center"/>
          </w:tcPr>
          <w:p>
            <w:r>
              <w:rPr>
                <w:rFonts w:ascii="Calibri" w:cs="Calibri" w:eastAsia="Calibri" w:hAnsi="Calibri"/>
                <w:color w:val="1A1A2E"/>
                <w:sz w:val="19"/>
                <w:szCs w:val="19"/>
              </w:rPr>
              <w:t xml:space="preserve">LIME, SHAP, attention visualization</w:t>
            </w:r>
          </w:p>
        </w:tc>
      </w:tr>
      <w:tr>
        <w:tc>
          <w:tcPr>
            <w:tcW w:type="dxa" w:w="1900"/>
            <w:tcBorders>
              <w:top w:val="single" w:color="90CAF9" w:sz="1"/>
              <w:left w:val="single" w:color="90CAF9" w:sz="1"/>
              <w:bottom w:val="single" w:color="90CAF9" w:sz="1"/>
              <w:right w:val="single" w:color="90CAF9" w:sz="1"/>
            </w:tcBorders>
            <w:shd w:fill="F0F4F8" w:val="clear"/>
            <w:tcMar>
              <w:top w:type="dxa" w:w="70"/>
              <w:left w:type="dxa" w:w="120"/>
              <w:bottom w:type="dxa" w:w="70"/>
              <w:right w:type="dxa" w:w="120"/>
            </w:tcMar>
            <w:vAlign w:val="center"/>
          </w:tcPr>
          <w:p>
            <w:r>
              <w:rPr>
                <w:rFonts w:ascii="Calibri" w:cs="Calibri" w:eastAsia="Calibri" w:hAnsi="Calibri"/>
                <w:color w:val="1A1A2E"/>
                <w:sz w:val="19"/>
                <w:szCs w:val="19"/>
              </w:rPr>
              <w:t xml:space="preserve">Accountability</w:t>
            </w:r>
          </w:p>
        </w:tc>
        <w:tc>
          <w:tcPr>
            <w:tcW w:type="dxa" w:w="2800"/>
            <w:tcBorders>
              <w:top w:val="single" w:color="90CAF9" w:sz="1"/>
              <w:left w:val="single" w:color="90CAF9" w:sz="1"/>
              <w:bottom w:val="single" w:color="90CAF9" w:sz="1"/>
              <w:right w:val="single" w:color="90CAF9" w:sz="1"/>
            </w:tcBorders>
            <w:shd w:fill="F0F4F8" w:val="clear"/>
            <w:tcMar>
              <w:top w:type="dxa" w:w="70"/>
              <w:left w:type="dxa" w:w="120"/>
              <w:bottom w:type="dxa" w:w="70"/>
              <w:right w:type="dxa" w:w="120"/>
            </w:tcMar>
            <w:vAlign w:val="center"/>
          </w:tcPr>
          <w:p>
            <w:r>
              <w:rPr>
                <w:rFonts w:ascii="Calibri" w:cs="Calibri" w:eastAsia="Calibri" w:hAnsi="Calibri"/>
                <w:color w:val="1A1A2E"/>
                <w:sz w:val="19"/>
                <w:szCs w:val="19"/>
              </w:rPr>
              <w:t xml:space="preserve">Clear responsibility chains</w:t>
            </w:r>
          </w:p>
        </w:tc>
        <w:tc>
          <w:tcPr>
            <w:tcW w:type="dxa" w:w="3060"/>
            <w:tcBorders>
              <w:top w:val="single" w:color="90CAF9" w:sz="1"/>
              <w:left w:val="single" w:color="90CAF9" w:sz="1"/>
              <w:bottom w:val="single" w:color="90CAF9" w:sz="1"/>
              <w:right w:val="single" w:color="90CAF9" w:sz="1"/>
            </w:tcBorders>
            <w:shd w:fill="F0F4F8" w:val="clear"/>
            <w:tcMar>
              <w:top w:type="dxa" w:w="70"/>
              <w:left w:type="dxa" w:w="120"/>
              <w:bottom w:type="dxa" w:w="70"/>
              <w:right w:type="dxa" w:w="120"/>
            </w:tcMar>
            <w:vAlign w:val="center"/>
          </w:tcPr>
          <w:p>
            <w:r>
              <w:rPr>
                <w:rFonts w:ascii="Calibri" w:cs="Calibri" w:eastAsia="Calibri" w:hAnsi="Calibri"/>
                <w:color w:val="1A1A2E"/>
                <w:sz w:val="19"/>
                <w:szCs w:val="19"/>
              </w:rPr>
              <w:t xml:space="preserve">Audit trails, model cards</w:t>
            </w:r>
          </w:p>
        </w:tc>
      </w:tr>
      <w:tr>
        <w:tc>
          <w:tcPr>
            <w:tcW w:type="dxa" w:w="1900"/>
            <w:tcBorders>
              <w:top w:val="single" w:color="90CAF9" w:sz="1"/>
              <w:left w:val="single" w:color="90CAF9" w:sz="1"/>
              <w:bottom w:val="single" w:color="90CAF9" w:sz="1"/>
              <w:right w:val="single" w:color="90CAF9" w:sz="1"/>
            </w:tcBorders>
            <w:shd w:fill="FFFFFF" w:val="clear"/>
            <w:tcMar>
              <w:top w:type="dxa" w:w="70"/>
              <w:left w:type="dxa" w:w="120"/>
              <w:bottom w:type="dxa" w:w="70"/>
              <w:right w:type="dxa" w:w="120"/>
            </w:tcMar>
            <w:vAlign w:val="center"/>
          </w:tcPr>
          <w:p>
            <w:r>
              <w:rPr>
                <w:rFonts w:ascii="Calibri" w:cs="Calibri" w:eastAsia="Calibri" w:hAnsi="Calibri"/>
                <w:color w:val="1A1A2E"/>
                <w:sz w:val="19"/>
                <w:szCs w:val="19"/>
              </w:rPr>
              <w:t xml:space="preserve">Privacy</w:t>
            </w:r>
          </w:p>
        </w:tc>
        <w:tc>
          <w:tcPr>
            <w:tcW w:type="dxa" w:w="2800"/>
            <w:tcBorders>
              <w:top w:val="single" w:color="90CAF9" w:sz="1"/>
              <w:left w:val="single" w:color="90CAF9" w:sz="1"/>
              <w:bottom w:val="single" w:color="90CAF9" w:sz="1"/>
              <w:right w:val="single" w:color="90CAF9" w:sz="1"/>
            </w:tcBorders>
            <w:shd w:fill="FFFFFF" w:val="clear"/>
            <w:tcMar>
              <w:top w:type="dxa" w:w="70"/>
              <w:left w:type="dxa" w:w="120"/>
              <w:bottom w:type="dxa" w:w="70"/>
              <w:right w:type="dxa" w:w="120"/>
            </w:tcMar>
            <w:vAlign w:val="center"/>
          </w:tcPr>
          <w:p>
            <w:r>
              <w:rPr>
                <w:rFonts w:ascii="Calibri" w:cs="Calibri" w:eastAsia="Calibri" w:hAnsi="Calibri"/>
                <w:color w:val="1A1A2E"/>
                <w:sz w:val="19"/>
                <w:szCs w:val="19"/>
              </w:rPr>
              <w:t xml:space="preserve">Data protection &amp; minimization</w:t>
            </w:r>
          </w:p>
        </w:tc>
        <w:tc>
          <w:tcPr>
            <w:tcW w:type="dxa" w:w="3060"/>
            <w:tcBorders>
              <w:top w:val="single" w:color="90CAF9" w:sz="1"/>
              <w:left w:val="single" w:color="90CAF9" w:sz="1"/>
              <w:bottom w:val="single" w:color="90CAF9" w:sz="1"/>
              <w:right w:val="single" w:color="90CAF9" w:sz="1"/>
            </w:tcBorders>
            <w:shd w:fill="FFFFFF" w:val="clear"/>
            <w:tcMar>
              <w:top w:type="dxa" w:w="70"/>
              <w:left w:type="dxa" w:w="120"/>
              <w:bottom w:type="dxa" w:w="70"/>
              <w:right w:type="dxa" w:w="120"/>
            </w:tcMar>
            <w:vAlign w:val="center"/>
          </w:tcPr>
          <w:p>
            <w:r>
              <w:rPr>
                <w:rFonts w:ascii="Calibri" w:cs="Calibri" w:eastAsia="Calibri" w:hAnsi="Calibri"/>
                <w:color w:val="1A1A2E"/>
                <w:sz w:val="19"/>
                <w:szCs w:val="19"/>
              </w:rPr>
              <w:t xml:space="preserve">Differential privacy, federated learning</w:t>
            </w:r>
          </w:p>
        </w:tc>
      </w:tr>
      <w:tr>
        <w:tc>
          <w:tcPr>
            <w:tcW w:type="dxa" w:w="1900"/>
            <w:tcBorders>
              <w:top w:val="single" w:color="90CAF9" w:sz="1"/>
              <w:left w:val="single" w:color="90CAF9" w:sz="1"/>
              <w:bottom w:val="single" w:color="90CAF9" w:sz="1"/>
              <w:right w:val="single" w:color="90CAF9" w:sz="1"/>
            </w:tcBorders>
            <w:shd w:fill="F0F4F8" w:val="clear"/>
            <w:tcMar>
              <w:top w:type="dxa" w:w="70"/>
              <w:left w:type="dxa" w:w="120"/>
              <w:bottom w:type="dxa" w:w="70"/>
              <w:right w:type="dxa" w:w="120"/>
            </w:tcMar>
            <w:vAlign w:val="center"/>
          </w:tcPr>
          <w:p>
            <w:r>
              <w:rPr>
                <w:rFonts w:ascii="Calibri" w:cs="Calibri" w:eastAsia="Calibri" w:hAnsi="Calibri"/>
                <w:color w:val="1A1A2E"/>
                <w:sz w:val="19"/>
                <w:szCs w:val="19"/>
              </w:rPr>
              <w:t xml:space="preserve">Safety</w:t>
            </w:r>
          </w:p>
        </w:tc>
        <w:tc>
          <w:tcPr>
            <w:tcW w:type="dxa" w:w="2800"/>
            <w:tcBorders>
              <w:top w:val="single" w:color="90CAF9" w:sz="1"/>
              <w:left w:val="single" w:color="90CAF9" w:sz="1"/>
              <w:bottom w:val="single" w:color="90CAF9" w:sz="1"/>
              <w:right w:val="single" w:color="90CAF9" w:sz="1"/>
            </w:tcBorders>
            <w:shd w:fill="F0F4F8" w:val="clear"/>
            <w:tcMar>
              <w:top w:type="dxa" w:w="70"/>
              <w:left w:type="dxa" w:w="120"/>
              <w:bottom w:type="dxa" w:w="70"/>
              <w:right w:type="dxa" w:w="120"/>
            </w:tcMar>
            <w:vAlign w:val="center"/>
          </w:tcPr>
          <w:p>
            <w:r>
              <w:rPr>
                <w:rFonts w:ascii="Calibri" w:cs="Calibri" w:eastAsia="Calibri" w:hAnsi="Calibri"/>
                <w:color w:val="1A1A2E"/>
                <w:sz w:val="19"/>
                <w:szCs w:val="19"/>
              </w:rPr>
              <w:t xml:space="preserve">Avoiding harmful actions</w:t>
            </w:r>
          </w:p>
        </w:tc>
        <w:tc>
          <w:tcPr>
            <w:tcW w:type="dxa" w:w="3060"/>
            <w:tcBorders>
              <w:top w:val="single" w:color="90CAF9" w:sz="1"/>
              <w:left w:val="single" w:color="90CAF9" w:sz="1"/>
              <w:bottom w:val="single" w:color="90CAF9" w:sz="1"/>
              <w:right w:val="single" w:color="90CAF9" w:sz="1"/>
            </w:tcBorders>
            <w:shd w:fill="F0F4F8" w:val="clear"/>
            <w:tcMar>
              <w:top w:type="dxa" w:w="70"/>
              <w:left w:type="dxa" w:w="120"/>
              <w:bottom w:type="dxa" w:w="70"/>
              <w:right w:type="dxa" w:w="120"/>
            </w:tcMar>
            <w:vAlign w:val="center"/>
          </w:tcPr>
          <w:p>
            <w:r>
              <w:rPr>
                <w:rFonts w:ascii="Calibri" w:cs="Calibri" w:eastAsia="Calibri" w:hAnsi="Calibri"/>
                <w:color w:val="1A1A2E"/>
                <w:sz w:val="19"/>
                <w:szCs w:val="19"/>
              </w:rPr>
              <w:t xml:space="preserve">Red-teaming, RLHF, constitutional AI</w:t>
            </w:r>
          </w:p>
        </w:tc>
      </w:tr>
    </w:tbl>
    <w:p>
      <w:pPr>
        <w:spacing w:after="80"/>
      </w:pPr>
    </w:p>
    <w:p>
      <w:pPr>
        <w:pStyle w:val="Heading1"/>
        <w:pBdr>
          <w:bottom w:val="single" w:color="1565C0" w:sz="6" w:space="4"/>
        </w:pBdr>
        <w:spacing w:after="120" w:before="280"/>
      </w:pPr>
      <w:r>
        <w:rPr>
          <w:rFonts w:ascii="Calibri" w:cs="Calibri" w:eastAsia="Calibri" w:hAnsi="Calibri"/>
          <w:b/>
          <w:bCs/>
          <w:color w:val="0D3B6E"/>
          <w:sz w:val="32"/>
          <w:szCs w:val="32"/>
        </w:rPr>
        <w:t xml:space="preserve">Conclusion</w:t>
      </w:r>
    </w:p>
    <w:p>
      <w:pPr>
        <w:spacing w:after="120" w:line="300"/>
        <w:jc w:val="both"/>
      </w:pPr>
      <w:r>
        <w:rPr>
          <w:rFonts w:ascii="Calibri" w:cs="Calibri" w:eastAsia="Calibri" w:hAnsi="Calibri"/>
          <w:color w:val="1A1A2E"/>
          <w:sz w:val="21"/>
          <w:szCs w:val="21"/>
        </w:rPr>
        <w:t xml:space="preserve">Artificial intelligence is not a monolithic technology but an interconnected ecosystem of disciplines—machine learning, natural language processing, computer vision, autonomous agents, generative models, and more—each advancing rapidly and amplifying the others. The decisions made now regarding how these systems are developed, governed, and deployed will have long-lasting consequences for productivity, inequality, security, and democratic institutions.</w:t>
      </w:r>
    </w:p>
    <w:p>
      <w:pPr>
        <w:spacing w:after="120" w:line="300"/>
        <w:jc w:val="both"/>
      </w:pPr>
      <w:r>
        <w:rPr>
          <w:rFonts w:ascii="Calibri" w:cs="Calibri" w:eastAsia="Calibri" w:hAnsi="Calibri"/>
          <w:color w:val="1A1A2E"/>
          <w:sz w:val="21"/>
          <w:szCs w:val="21"/>
        </w:rPr>
        <w:t xml:space="preserve">Technical excellence must be paired with rigorous safety practices, inclusive stakeholder engagement, and adaptive regulatory frameworks capable of keeping pace with the speed of innovation. Organizations and governments that invest in AI literacy, robust governance infrastructure, and multi-stakeholder dialogue will be best positioned to capture the benefits while managing the risks of this transformative technological moment.</w:t>
      </w:r>
    </w:p>
    <w:p>
      <w:pPr>
        <w:spacing w:after="60"/>
      </w:pPr>
    </w:p>
    <w:p>
      <w:pPr>
        <w:spacing w:after="80"/>
        <w:jc w:val="center"/>
      </w:pPr>
      <w:r>
        <w:rPr>
          <w:rFonts w:ascii="Calibri" w:cs="Calibri" w:eastAsia="Calibri" w:hAnsi="Calibri"/>
          <w:i/>
          <w:iCs/>
          <w:color w:val="607D8B"/>
          <w:sz w:val="19"/>
          <w:szCs w:val="19"/>
        </w:rPr>
        <w:t xml:space="preserve">— End of Strategic Intelligence Report —</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spacing w:before="60"/>
      <w:jc w:val="center"/>
    </w:pPr>
    <w:r>
      <w:rPr>
        <w:rFonts w:ascii="Calibri" w:cs="Calibri" w:eastAsia="Calibri" w:hAnsi="Calibri"/>
        <w:color w:val="607D8B"/>
        <w:sz w:val="17"/>
        <w:szCs w:val="17"/>
      </w:rPr>
      <w:t xml:space="preserve">Page </w:t>
    </w:r>
    <w:r>
      <w:rPr>
        <w:rFonts w:ascii="Calibri" w:cs="Calibri" w:eastAsia="Calibri" w:hAnsi="Calibri"/>
        <w:color w:val="607D8B"/>
        <w:sz w:val="17"/>
        <w:szCs w:val="17"/>
      </w:rPr>
      <w:fldChar w:fldCharType="begin"/>
      <w:instrText xml:space="preserve">PAGE</w:instrText>
      <w:fldChar w:fldCharType="separate"/>
      <w:fldChar w:fldCharType="end"/>
    </w:r>
    <w:r>
      <w:rPr>
        <w:rFonts w:ascii="Calibri" w:cs="Calibri" w:eastAsia="Calibri" w:hAnsi="Calibri"/>
        <w:color w:val="607D8B"/>
        <w:sz w:val="17"/>
        <w:szCs w:val="17"/>
      </w:rPr>
      <w:t xml:space="preserve"> | Confidential &amp; Strategic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spacing w:after="60"/>
    </w:pPr>
    <w:r>
      <w:rPr>
        <w:rFonts w:ascii="Calibri" w:cs="Calibri" w:eastAsia="Calibri" w:hAnsi="Calibri"/>
        <w:i/>
        <w:iCs/>
        <w:color w:val="607D8B"/>
        <w:sz w:val="17"/>
        <w:szCs w:val="17"/>
      </w:rPr>
      <w:t xml:space="preserve">The Intelligent Future: AI, ML, NLP, Agents &amp; Policy</w:t>
    </w:r>
    <w:r>
      <w:rPr>
        <w:rFonts w:ascii="Calibri" w:cs="Calibri" w:eastAsia="Calibri" w:hAnsi="Calibri"/>
        <w:color w:val="607D8B"/>
        <w:sz w:val="17"/>
        <w:szCs w:val="17"/>
      </w:rPr>
      <w:t xml:space="preserve">    |    Strategic Intelligence Report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0D3B6E"/>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2026-04-28T04:59:27.534Z</dcterms:created>
  <dcterms:modified xsi:type="dcterms:W3CDTF">2026-04-28T04:59:27.535Z</dcterms:modified>
</cp:coreProperties>
</file>

<file path=docProps/custom.xml><?xml version="1.0" encoding="utf-8"?>
<Properties xmlns="http://schemas.openxmlformats.org/officeDocument/2006/custom-properties" xmlns:vt="http://schemas.openxmlformats.org/officeDocument/2006/docPropsVTypes"/>
</file>