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F3A8A"/>
          <w:sz w:val="56"/>
          <w:szCs w:val="56"/>
        </w:rPr>
        <w:t xml:space="preserve">AVAL</w:t>
      </w:r>
    </w:p>
    <w:p>
      <w:pPr>
        <w:spacing w:after="40" w:before="0"/>
      </w:pPr>
      <w:r>
        <w:rPr>
          <w:rFonts w:ascii="Calibri" w:cs="Calibri" w:eastAsia="Calibri" w:hAnsi="Calibri"/>
          <w:color w:val="1A1A2E"/>
          <w:sz w:val="32"/>
          <w:szCs w:val="32"/>
        </w:rPr>
        <w:t xml:space="preserve">Work Division &amp; Responsibilities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Rayyan Ahmad Sultan  ·  Aryan Ali Khan  ·  Safwan Shakir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7B3F00"/>
                <w:sz w:val="19"/>
                <w:szCs w:val="19"/>
              </w:rPr>
              <w:t xml:space="preserve">DEADLINE: Evaluations begin 8 May 2026. Any group may be called on any day from that date onwards.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7B3F00"/>
                <w:sz w:val="19"/>
                <w:szCs w:val="19"/>
              </w:rPr>
              <w:t xml:space="preserve">Absent groups receive zero. Working code, report, and slides must all be ready from day one of evaluations.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7B3F00"/>
                <w:sz w:val="19"/>
                <w:szCs w:val="19"/>
              </w:rPr>
              <w:t xml:space="preserve">You have approximately 3 weeks from today. Safwan unblocks Rayyan. Rayyan unblocks Aryan. Sequence matters.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Safwan Shakir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Foundation  ·  Layers 1 &amp; 2  ·  Persistence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Safwan builds everything the other two depend on. He can start immediately with zero external dependencies. His output — the domain objects and parsed datasets — is what Rayyan's engine consumes.</w:t>
      </w:r>
    </w:p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CLASSES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ClientOrganization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ReconciliationWorkspace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MatchingConfig</w:t>
            </w:r>
          </w:p>
        </w:tc>
      </w:tr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FinancialDataset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RawTransaction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RawInternalLedger</w:t>
            </w:r>
          </w:p>
        </w:tc>
      </w:tr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RawBankStatement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DocumentParser&lt;T&gt;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PDFBankStatementParser</w:t>
            </w:r>
          </w:p>
        </w:tc>
      </w:tr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CSVLedgerParser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DataStore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IngestionService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ENUMS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DatasetStatus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DataSourceType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TransactionType</w:t>
            </w:r>
          </w:p>
        </w:tc>
      </w:tr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WorkspaceStatus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USE CASES COVERED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UC1  —  Create Client Organization Profile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UC2  —  Ingest Client Internal Ledger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UC3  —  Import External Financial Data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UC4  —  Standardize Financial Schema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KEY NOTES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DocumentParser&lt;T&gt; is the Template Method pattern anchor. parse(), validate(), and extractRawRows() define the algorithm skeleton.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DataStore is the sole persistence class (Repository / DAO pattern). No other class touches JDBC directly.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IngestionService acts as Factory Method — it decides whether to instantiate RawInternalLedger or RawBankStatement based on DataSourceType.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Finish ClientOrganization, ReconciliationWorkspace, and RawTransaction first — they are dependencies for every other class in the project.</w:t>
      </w:r>
    </w:p>
    <w:p>
      <w:pPr>
        <w:spacing w:after="0" w:before="16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Rayyan Ahmad Sultan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AI &amp; Engine  ·  Layer 3  ·  Integration Manager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Rayyan owns the intellectual core of the system — everything from a standardized transaction through to a sealed reconciliation record. He also manages project setup, the database schema, and final integration wiring.</w:t>
      </w:r>
    </w:p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45A32"/>
          <w:sz w:val="20"/>
          <w:szCs w:val="20"/>
        </w:rPr>
        <w:t xml:space="preserve">CLASSES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StandardizedTransaction</w:t>
            </w:r>
          </w:p>
        </w:tc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SemanticEmbedding</w:t>
            </w:r>
          </w:p>
        </w:tc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MatchHypothesis</w:t>
            </w:r>
          </w:p>
        </w:tc>
      </w:tr>
      <w:tr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ReconciliationRecord</w:t>
            </w:r>
          </w:p>
        </w:tc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VectorizationEngine</w:t>
            </w:r>
          </w:p>
        </w:tc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LangChain4jVectorizationEngine</w:t>
            </w:r>
          </w:p>
        </w:tc>
      </w:tr>
      <w:tr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MatchingEngine</w:t>
            </w:r>
          </w:p>
        </w:tc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SemanticMatchingEngine</w:t>
            </w:r>
          </w:p>
        </w:tc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RuleBasedMatchingEngine</w:t>
            </w:r>
          </w:p>
        </w:tc>
      </w:tr>
      <w:tr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ReconciliationService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145A32"/>
          <w:sz w:val="20"/>
          <w:szCs w:val="20"/>
        </w:rPr>
        <w:t xml:space="preserve">ENUMS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HypothesisStatus</w:t>
            </w:r>
          </w:p>
        </w:tc>
        <w:tc>
          <w:tcPr>
            <w:tcW w:type="dxa" w:w="312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MatchType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145A32"/>
          <w:sz w:val="20"/>
          <w:szCs w:val="20"/>
        </w:rPr>
        <w:t xml:space="preserve">INTEGRATION RESPONSIBILITIES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Maven/Gradle project setup and module structure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Full package skeleton (create all packages so teammates can drop files in)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PostgreSQL schema DDL — every table corresponding to Layer 1–3 domain classes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Final integration wiring once all three streams are complete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45A32"/>
          <w:sz w:val="20"/>
          <w:szCs w:val="20"/>
        </w:rPr>
        <w:t xml:space="preserve">USE CASES COVERED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UC5  —  Execute Semantic Vectorization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UC6  —  Run Probabilistic Matching Engine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UC7  —  Review AI-Suggested Matches (service layer)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UC8  —  Force Manual Reconciliation (service layer)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UC9  —  Perform Multi-Source Consolidation (service layer)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45A32"/>
          <w:sz w:val="20"/>
          <w:szCs w:val="20"/>
        </w:rPr>
        <w:t xml:space="preserve">KEY NOTES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Build and fully test RuleBasedMatchingEngine before touching LangChain4jVectorizationEngine. The stub is the demo safety net — if the LLM integration is unstable on evaluation day, the entire pipeline still runs through the stub.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MatchingConfig holds the two critical constants: AUTO_CONFIRM_THRESHOLD = 0.95 and REVIEW_FLOOR = 0.70. These drive UC6 branching logic entirely.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Define your ReconciliationService method signatures before Aryan starts on ReconciliationDashboardController — that is the one interface that can block both of you if left ambiguous.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ReconciliationRecord.isManualOverride() and MatchType.FORCE_OVERRIDE are required by the evaluator for UC8 audit trail compliance.</w:t>
      </w:r>
    </w:p>
    <w:p>
      <w:pPr>
        <w:spacing w:after="0" w:before="16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8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Aryan Ali Khan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UI &amp; Reporting  ·  Layer 5  ·  ReportService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Aryan builds the entire user-facing layer and the reporting surface. He can begin scaffolding the JavaFX controllers as soon as Safwan's domain objects exist, and wire in Rayyan's services as they become available.</w:t>
      </w:r>
    </w:p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6E2F8B"/>
          <w:sz w:val="20"/>
          <w:szCs w:val="20"/>
        </w:rPr>
        <w:t xml:space="preserve">CLASSES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E2F8B" w:sz="1"/>
              <w:left w:val="single" w:color="6E2F8B" w:sz="1"/>
              <w:bottom w:val="single" w:color="6E2F8B" w:sz="1"/>
              <w:right w:val="single" w:color="6E2F8B" w:sz="1"/>
            </w:tcBorders>
            <w:shd w:fill="EDE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7"/>
                <w:szCs w:val="17"/>
              </w:rPr>
              <w:t xml:space="preserve">SystemUser</w:t>
            </w:r>
          </w:p>
        </w:tc>
        <w:tc>
          <w:tcPr>
            <w:tcW w:type="dxa" w:w="3120"/>
            <w:tcBorders>
              <w:top w:val="single" w:color="6E2F8B" w:sz="1"/>
              <w:left w:val="single" w:color="6E2F8B" w:sz="1"/>
              <w:bottom w:val="single" w:color="6E2F8B" w:sz="1"/>
              <w:right w:val="single" w:color="6E2F8B" w:sz="1"/>
            </w:tcBorders>
            <w:shd w:fill="EDE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7"/>
                <w:szCs w:val="17"/>
              </w:rPr>
              <w:t xml:space="preserve">ReportService</w:t>
            </w:r>
          </w:p>
        </w:tc>
        <w:tc>
          <w:tcPr>
            <w:tcW w:type="dxa" w:w="3120"/>
            <w:tcBorders>
              <w:top w:val="single" w:color="6E2F8B" w:sz="1"/>
              <w:left w:val="single" w:color="6E2F8B" w:sz="1"/>
              <w:bottom w:val="single" w:color="6E2F8B" w:sz="1"/>
              <w:right w:val="single" w:color="6E2F8B" w:sz="1"/>
            </w:tcBorders>
            <w:shd w:fill="EDE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7"/>
                <w:szCs w:val="17"/>
              </w:rPr>
              <w:t xml:space="preserve">AppController</w:t>
            </w:r>
          </w:p>
        </w:tc>
      </w:tr>
      <w:tr>
        <w:tc>
          <w:tcPr>
            <w:tcW w:type="dxa" w:w="3120"/>
            <w:tcBorders>
              <w:top w:val="single" w:color="6E2F8B" w:sz="1"/>
              <w:left w:val="single" w:color="6E2F8B" w:sz="1"/>
              <w:bottom w:val="single" w:color="6E2F8B" w:sz="1"/>
              <w:right w:val="single" w:color="6E2F8B" w:sz="1"/>
            </w:tcBorders>
            <w:shd w:fill="EDE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7"/>
                <w:szCs w:val="17"/>
              </w:rPr>
              <w:t xml:space="preserve">IngestionController</w:t>
            </w:r>
          </w:p>
        </w:tc>
        <w:tc>
          <w:tcPr>
            <w:tcW w:type="dxa" w:w="3120"/>
            <w:tcBorders>
              <w:top w:val="single" w:color="6E2F8B" w:sz="1"/>
              <w:left w:val="single" w:color="6E2F8B" w:sz="1"/>
              <w:bottom w:val="single" w:color="6E2F8B" w:sz="1"/>
              <w:right w:val="single" w:color="6E2F8B" w:sz="1"/>
            </w:tcBorders>
            <w:shd w:fill="EDE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7"/>
                <w:szCs w:val="17"/>
              </w:rPr>
              <w:t xml:space="preserve">ReconciliationDashboardController</w:t>
            </w:r>
          </w:p>
        </w:tc>
        <w:tc>
          <w:tcPr>
            <w:tcW w:type="dxa" w:w="3120"/>
            <w:tcBorders>
              <w:top w:val="single" w:color="6E2F8B" w:sz="1"/>
              <w:left w:val="single" w:color="6E2F8B" w:sz="1"/>
              <w:bottom w:val="single" w:color="6E2F8B" w:sz="1"/>
              <w:right w:val="single" w:color="6E2F8B" w:sz="1"/>
            </w:tcBorders>
            <w:shd w:fill="EDE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7"/>
                <w:szCs w:val="17"/>
              </w:rPr>
              <w:t xml:space="preserve">ReportController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6E2F8B"/>
          <w:sz w:val="20"/>
          <w:szCs w:val="20"/>
        </w:rPr>
        <w:t xml:space="preserve">ENUMS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E2F8B" w:sz="1"/>
              <w:left w:val="single" w:color="6E2F8B" w:sz="1"/>
              <w:bottom w:val="single" w:color="6E2F8B" w:sz="1"/>
              <w:right w:val="single" w:color="6E2F8B" w:sz="1"/>
            </w:tcBorders>
            <w:shd w:fill="EDE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7"/>
                <w:szCs w:val="17"/>
              </w:rPr>
              <w:t xml:space="preserve">UserRole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6E2F8B"/>
          <w:sz w:val="20"/>
          <w:szCs w:val="20"/>
        </w:rPr>
        <w:t xml:space="preserve">USE CASES COVERED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UC11  —  Generate Verified Reconciliation Report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UC12  —  Create and Maintain Verified Transaction History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UI wiring for UC1 through UC10 (controllers surface all use cases)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6E2F8B"/>
          <w:sz w:val="20"/>
          <w:szCs w:val="20"/>
        </w:rPr>
        <w:t xml:space="preserve">KEY NOTES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No business logic in any controller — every handler method must delegate to a service. Controllers are display and event routing only.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AppController is the Facade pattern entry point. All navigation and session state live here. Keep it lean.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ReconciliationDashboardController is the most complex UI class — it surfaces match hypotheses, approve/reject actions, force reconcile, and the XAI explanation. Coordinate with Rayyan on ReconciliationService method signatures before building this.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ReportController.showBlockingError() must handle the 'Cannot Generate: Unresolved Items' extension from UC11 — the evaluator will check extensions.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Login/logout is excluded from evaluation. Implement a mock session in AppController that initialises a hardcoded SystemUser with the correct role on startup.</w:t>
      </w:r>
    </w:p>
    <w:p>
      <w:pPr>
        <w:spacing w:after="0" w:before="16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A8A"/>
          <w:sz w:val="28"/>
          <w:szCs w:val="28"/>
        </w:rPr>
        <w:t xml:space="preserve">Master Class Assignment Table</w:t>
      </w:r>
    </w:p>
    <w:p>
      <w:p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Every class in V1, its owner, its layer, and its use case coverage.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 / Enum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ClientOrganization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1 – 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ReconciliationWorkspace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1 – 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MatchingConfig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1 – 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FinancialDataset (abstract)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2 – Ingestion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UC2, UC3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RawTransaction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2 – Ingestion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UC2, UC3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RawInternalLedger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2 – Ingestion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RawBankStatement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2 – Ingestion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DocumentParser&lt;T&gt;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Parser Interface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UC2, UC3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PDFBankStatementParser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Parser Impl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CSVLedgerParser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Parser Impl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IngestionService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4 – Services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UC2, UC3, UC4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Persistence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DatasetStatus (enum)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Enums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UC2–UC4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DataSourceType (enum)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Enums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UC2, UC3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TransactionType (enum)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Enums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UC2, UC3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WorkspaceStatus (enum)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Safwan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Enums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StandardizedTransaction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3 – AI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UC4, UC5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SemanticEmbedding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3 – AI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MatchHypothesis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3 – AI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UC6–UC9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ReconciliationRecord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3 – AI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UC6–UC9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VectorizationEngine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Engine Interface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LangChain4jVectorizationEngine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Engine Impl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MatchingEngine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Engine Interface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SemanticMatchingEngine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Engine Impl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RuleBasedMatchingEngine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Engine Impl (stub)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UC6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ReconciliationService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4 – Services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UC6–UC9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HypothesisStatus (enum)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Enums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UC6–UC9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MatchType (enum)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7"/>
                <w:szCs w:val="17"/>
              </w:rPr>
              <w:t xml:space="preserve">Rayyan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Enums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UC6, UC8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SystemUser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2F8B"/>
                <w:sz w:val="17"/>
                <w:szCs w:val="17"/>
              </w:rPr>
              <w:t xml:space="preserve">Aryan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Domain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All (auth)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ReportService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2F8B"/>
                <w:sz w:val="17"/>
                <w:szCs w:val="17"/>
              </w:rPr>
              <w:t xml:space="preserve">Aryan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4 – Services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UC11, UC12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AppController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2F8B"/>
                <w:sz w:val="17"/>
                <w:szCs w:val="17"/>
              </w:rPr>
              <w:t xml:space="preserve">Aryan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5 – 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All navigation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IngestionController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2F8B"/>
                <w:sz w:val="17"/>
                <w:szCs w:val="17"/>
              </w:rPr>
              <w:t xml:space="preserve">Aryan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5 – 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UC2, UC3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ReconciliationDashboardController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2F8B"/>
                <w:sz w:val="17"/>
                <w:szCs w:val="17"/>
              </w:rPr>
              <w:t xml:space="preserve">Aryan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5 – 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UC6–UC9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ReportController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2F8B"/>
                <w:sz w:val="17"/>
                <w:szCs w:val="17"/>
              </w:rPr>
              <w:t xml:space="preserve">Aryan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Layer 5 – 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UC11, UC12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UserRole (enum)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2F8B"/>
                <w:sz w:val="17"/>
                <w:szCs w:val="17"/>
              </w:rPr>
              <w:t xml:space="preserve">Aryan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Enums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All (auth)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A8A"/>
          <w:sz w:val="28"/>
          <w:szCs w:val="28"/>
        </w:rPr>
        <w:t xml:space="preserve">Critical Integration Handshake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There is one interface boundary in this project that can block two people simultaneously if it is not agreed on first.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7B3F00"/>
                <w:sz w:val="19"/>
                <w:szCs w:val="19"/>
              </w:rPr>
              <w:t xml:space="preserve">Rayyan and Aryan must agree on the ReconciliationService method signatures BEFORE either writes a line of code in their respective classes.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7B3F00"/>
                <w:sz w:val="19"/>
                <w:szCs w:val="19"/>
              </w:rPr>
              <w:t xml:space="preserve">Aryan's ReconciliationDashboardController calls Rayyan's ReconciliationService. If those signatures drift, the UI and engine cannot connect.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7B3F00"/>
                <w:sz w:val="19"/>
                <w:szCs w:val="19"/>
              </w:rPr>
              <w:t xml:space="preserve">Resolve this in one conversation. Write the method signatures down. Both parties lock to them.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Dependency build order: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Safwan completes Layer 1 domain classes  →  Rayyan can start Layer 3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Rayyan and Aryan agree on ReconciliationService signatures  →  Aryan can build ReconciliationDashboardController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Safwan completes DataStore  →  Rayyan can finish ReconciliationService persistence calls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•  All three streams merge  →  Rayyan wires integration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8A" w:sz="4" w:space="1"/>
      </w:pBdr>
      <w:tabs>
        <w:tab w:val="right" w:pos="9360"/>
      </w:tabs>
    </w:pPr>
    <w:r>
      <w:rPr>
        <w:rFonts w:ascii="Calibri" w:cs="Calibri" w:eastAsia="Calibri" w:hAnsi="Calibri"/>
        <w:color w:val="555555"/>
        <w:sz w:val="16"/>
        <w:szCs w:val="16"/>
      </w:rPr>
      <w:t xml:space="preserve">Evaluation: 8 May 2026  ·  All use cases must be fully implemented and connected</w:t>
    </w:r>
    <w:r>
      <w:rPr>
        <w:rFonts w:ascii="Calibri" w:cs="Calibri" w:eastAsia="Calibri" w:hAnsi="Calibri"/>
        <w:color w:val="555555"/>
        <w:sz w:val="16"/>
        <w:szCs w:val="16"/>
      </w:rPr>
      <w:t xml:space="preserve">	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8A" w:sz="4" w:space="1"/>
      </w:pBdr>
      <w:tabs>
        <w:tab w:val="right" w:pos="9360"/>
      </w:tabs>
    </w:pPr>
    <w:r>
      <w:rPr>
        <w:rFonts w:ascii="Calibri" w:cs="Calibri" w:eastAsia="Calibri" w:hAnsi="Calibri"/>
        <w:color w:val="1F3A8A"/>
        <w:sz w:val="16"/>
        <w:szCs w:val="16"/>
      </w:rPr>
      <w:t xml:space="preserve">AVAL  ·  Work Division &amp; Responsibilities</w:t>
    </w:r>
    <w:r>
      <w:rPr>
        <w:rFonts w:ascii="Calibri" w:cs="Calibri" w:eastAsia="Calibri" w:hAnsi="Calibri"/>
        <w:color w:val="555555"/>
        <w:sz w:val="16"/>
        <w:szCs w:val="16"/>
      </w:rPr>
      <w:t xml:space="preserve">	CS-3004 Software Design &amp;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2026-04-17T11:47:49.186Z</dcterms:created>
  <dcterms:modified xsi:type="dcterms:W3CDTF">2026-04-17T11:47:49.186Z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